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5C4F" w14:textId="7C8AFD4A" w:rsidR="007A0E6B" w:rsidRPr="008C347E" w:rsidRDefault="007A0E6B">
      <w:pPr>
        <w:rPr>
          <w:rFonts w:asciiTheme="minorBidi" w:hAnsiTheme="minorBidi" w:cstheme="minorBidi"/>
        </w:rPr>
      </w:pPr>
    </w:p>
    <w:tbl>
      <w:tblPr>
        <w:tblStyle w:val="TableGrid"/>
        <w:tblpPr w:leftFromText="180" w:rightFromText="180" w:vertAnchor="page" w:horzAnchor="margin" w:tblpX="142" w:tblpY="4213"/>
        <w:tblW w:w="5000" w:type="pct"/>
        <w:tblBorders>
          <w:bottom w:val="none" w:sz="0" w:space="0" w:color="auto"/>
          <w:insideH w:val="none" w:sz="0" w:space="0" w:color="auto"/>
        </w:tblBorders>
        <w:tblLook w:val="00A0" w:firstRow="1" w:lastRow="0" w:firstColumn="1" w:lastColumn="0" w:noHBand="0" w:noVBand="0"/>
      </w:tblPr>
      <w:tblGrid>
        <w:gridCol w:w="9214"/>
      </w:tblGrid>
      <w:tr w:rsidR="007A0E6B" w:rsidRPr="008C347E" w14:paraId="489890A0" w14:textId="77777777" w:rsidTr="00712CEF">
        <w:trPr>
          <w:cantSplit/>
          <w:trHeight w:hRule="exact" w:val="10458"/>
        </w:trPr>
        <w:tc>
          <w:tcPr>
            <w:tcW w:w="5000" w:type="pct"/>
            <w:vAlign w:val="top"/>
          </w:tcPr>
          <w:p w14:paraId="5EE54F39" w14:textId="77777777" w:rsidR="006A684A" w:rsidRDefault="003145BD" w:rsidP="00712CEF">
            <w:pPr>
              <w:spacing w:line="240" w:lineRule="auto"/>
              <w:rPr>
                <w:rFonts w:asciiTheme="minorBidi" w:hAnsiTheme="minorBidi" w:cstheme="minorBidi"/>
              </w:rPr>
            </w:pPr>
            <w:r w:rsidRPr="008C347E">
              <w:rPr>
                <w:rFonts w:asciiTheme="minorBidi" w:hAnsiTheme="minorBidi" w:cstheme="minorBidi"/>
              </w:rPr>
              <w:br w:type="page"/>
            </w:r>
            <w:r w:rsidR="007330E2" w:rsidRPr="007330E2">
              <w:rPr>
                <w:color w:val="1E35BF"/>
                <w:spacing w:val="-20"/>
                <w:sz w:val="144"/>
                <w:szCs w:val="144"/>
              </w:rPr>
              <w:t>Performance Management - Supplemental Requirements &amp; Guidance</w:t>
            </w:r>
            <w:r w:rsidR="00F6563D">
              <w:rPr>
                <w:rFonts w:asciiTheme="minorBidi" w:hAnsiTheme="minorBidi" w:cstheme="minorBidi"/>
              </w:rPr>
              <w:br/>
            </w:r>
          </w:p>
          <w:p w14:paraId="306B6B7D" w14:textId="72A53AF8" w:rsidR="006A684A" w:rsidRDefault="008D72B6" w:rsidP="00712CEF">
            <w:pPr>
              <w:spacing w:line="240" w:lineRule="auto"/>
              <w:rPr>
                <w:color w:val="000000"/>
                <w:sz w:val="40"/>
                <w:szCs w:val="40"/>
              </w:rPr>
            </w:pPr>
            <w:r>
              <w:rPr>
                <w:color w:val="000000"/>
                <w:sz w:val="40"/>
                <w:szCs w:val="40"/>
              </w:rPr>
              <w:t>August</w:t>
            </w:r>
            <w:r w:rsidR="006A684A">
              <w:rPr>
                <w:color w:val="000000"/>
                <w:sz w:val="40"/>
                <w:szCs w:val="40"/>
              </w:rPr>
              <w:t xml:space="preserve"> 202</w:t>
            </w:r>
            <w:r w:rsidR="009D4B5E">
              <w:rPr>
                <w:color w:val="000000"/>
                <w:sz w:val="40"/>
                <w:szCs w:val="40"/>
              </w:rPr>
              <w:t>6</w:t>
            </w:r>
          </w:p>
          <w:p w14:paraId="49E750BF" w14:textId="77777777" w:rsidR="004F6E07" w:rsidRDefault="004F6E07" w:rsidP="00712CEF">
            <w:pPr>
              <w:spacing w:line="240" w:lineRule="auto"/>
              <w:rPr>
                <w:color w:val="000000"/>
                <w:sz w:val="40"/>
                <w:szCs w:val="40"/>
              </w:rPr>
            </w:pPr>
          </w:p>
          <w:p w14:paraId="1C51B8B0" w14:textId="77777777" w:rsidR="004F6E07" w:rsidRDefault="004F6E07" w:rsidP="00712CEF">
            <w:pPr>
              <w:spacing w:line="240" w:lineRule="auto"/>
              <w:rPr>
                <w:color w:val="000000"/>
                <w:sz w:val="40"/>
                <w:szCs w:val="40"/>
              </w:rPr>
            </w:pPr>
          </w:p>
          <w:p w14:paraId="1E7B2F2C" w14:textId="77777777" w:rsidR="004F6E07" w:rsidRDefault="004F6E07" w:rsidP="00712CEF">
            <w:pPr>
              <w:spacing w:line="240" w:lineRule="auto"/>
              <w:rPr>
                <w:color w:val="000000"/>
                <w:sz w:val="40"/>
                <w:szCs w:val="40"/>
              </w:rPr>
            </w:pPr>
          </w:p>
          <w:p w14:paraId="280E5326" w14:textId="1E1D1BBF" w:rsidR="004F6E07" w:rsidRPr="008C347E" w:rsidRDefault="004F6E07" w:rsidP="00712CEF">
            <w:pPr>
              <w:spacing w:line="240" w:lineRule="auto"/>
              <w:rPr>
                <w:rFonts w:asciiTheme="minorBidi" w:hAnsiTheme="minorBidi" w:cstheme="minorBidi"/>
              </w:rPr>
            </w:pPr>
          </w:p>
        </w:tc>
      </w:tr>
    </w:tbl>
    <w:p w14:paraId="1FF13054" w14:textId="77777777" w:rsidR="009B3D3D" w:rsidRPr="008C347E" w:rsidRDefault="009B3D3D" w:rsidP="009B3D3D">
      <w:pPr>
        <w:pStyle w:val="Maintitle"/>
        <w:tabs>
          <w:tab w:val="left" w:pos="3073"/>
        </w:tabs>
        <w:rPr>
          <w:rFonts w:asciiTheme="minorBidi" w:hAnsiTheme="minorBidi" w:cstheme="minorBidi"/>
          <w:sz w:val="144"/>
          <w:szCs w:val="144"/>
        </w:rPr>
      </w:pPr>
      <w:r w:rsidRPr="008C347E">
        <w:rPr>
          <w:rFonts w:asciiTheme="minorBidi" w:hAnsiTheme="minorBidi" w:cstheme="minorBidi"/>
          <w:sz w:val="144"/>
          <w:szCs w:val="144"/>
        </w:rPr>
        <w:tab/>
      </w:r>
    </w:p>
    <w:p w14:paraId="02D7D711" w14:textId="77777777" w:rsidR="009B3D3D" w:rsidRPr="008C347E" w:rsidRDefault="009B3D3D" w:rsidP="009B3D3D">
      <w:pPr>
        <w:pStyle w:val="BodyText"/>
        <w:tabs>
          <w:tab w:val="left" w:pos="7544"/>
        </w:tabs>
        <w:rPr>
          <w:rFonts w:asciiTheme="minorBidi" w:hAnsiTheme="minorBidi" w:cstheme="minorBidi"/>
          <w:sz w:val="144"/>
          <w:szCs w:val="144"/>
        </w:rPr>
      </w:pPr>
      <w:r w:rsidRPr="008C347E">
        <w:rPr>
          <w:rFonts w:asciiTheme="minorBidi" w:hAnsiTheme="minorBidi" w:cstheme="minorBidi"/>
          <w:sz w:val="144"/>
          <w:szCs w:val="144"/>
        </w:rPr>
        <w:tab/>
      </w:r>
    </w:p>
    <w:p w14:paraId="2D6264C5" w14:textId="77777777" w:rsidR="009B3D3D" w:rsidRPr="008C347E" w:rsidRDefault="009B3D3D" w:rsidP="009B3D3D">
      <w:pPr>
        <w:rPr>
          <w:rFonts w:asciiTheme="minorBidi" w:hAnsiTheme="minorBidi" w:cstheme="minorBidi"/>
        </w:rPr>
      </w:pPr>
    </w:p>
    <w:p w14:paraId="32C098E2" w14:textId="77777777" w:rsidR="009B3D3D" w:rsidRPr="008C347E" w:rsidRDefault="009B3D3D" w:rsidP="009B3D3D">
      <w:pPr>
        <w:rPr>
          <w:rFonts w:asciiTheme="minorBidi" w:hAnsiTheme="minorBidi" w:cstheme="minorBidi"/>
        </w:rPr>
      </w:pPr>
    </w:p>
    <w:p w14:paraId="21B5F33D" w14:textId="77777777" w:rsidR="009B3D3D" w:rsidRPr="008C347E" w:rsidRDefault="009B3D3D" w:rsidP="009B3D3D">
      <w:pPr>
        <w:rPr>
          <w:rFonts w:asciiTheme="minorBidi" w:hAnsiTheme="minorBidi" w:cstheme="minorBidi"/>
        </w:rPr>
      </w:pPr>
    </w:p>
    <w:p w14:paraId="5C413C88" w14:textId="77777777" w:rsidR="009B3D3D" w:rsidRPr="008C347E" w:rsidRDefault="009B3D3D" w:rsidP="009B3D3D">
      <w:pPr>
        <w:rPr>
          <w:rFonts w:asciiTheme="minorBidi" w:hAnsiTheme="minorBidi" w:cstheme="minorBidi"/>
        </w:rPr>
      </w:pPr>
    </w:p>
    <w:p w14:paraId="4DBC1149" w14:textId="77777777" w:rsidR="009B3D3D" w:rsidRPr="008C347E" w:rsidRDefault="009B3D3D" w:rsidP="009B3D3D">
      <w:pPr>
        <w:rPr>
          <w:rFonts w:asciiTheme="minorBidi" w:hAnsiTheme="minorBidi" w:cstheme="minorBidi"/>
        </w:rPr>
      </w:pPr>
    </w:p>
    <w:p w14:paraId="42EFFC3B" w14:textId="77777777" w:rsidR="009B3D3D" w:rsidRPr="008C347E" w:rsidRDefault="009B3D3D" w:rsidP="009B3D3D">
      <w:pPr>
        <w:rPr>
          <w:rFonts w:asciiTheme="minorBidi" w:hAnsiTheme="minorBidi" w:cstheme="minorBidi"/>
        </w:rPr>
      </w:pPr>
    </w:p>
    <w:sdt>
      <w:sdtPr>
        <w:rPr>
          <w:rFonts w:ascii="Times New Roman" w:eastAsia="Times New Roman" w:hAnsi="Times New Roman" w:cs="Times New Roman"/>
          <w:b w:val="0"/>
          <w:bCs w:val="0"/>
          <w:color w:val="auto"/>
          <w:sz w:val="24"/>
          <w:szCs w:val="20"/>
          <w:lang w:val="en-GB" w:eastAsia="en-GB"/>
        </w:rPr>
        <w:id w:val="1799482492"/>
        <w:docPartObj>
          <w:docPartGallery w:val="Table of Contents"/>
          <w:docPartUnique/>
        </w:docPartObj>
      </w:sdtPr>
      <w:sdtEndPr>
        <w:rPr>
          <w:noProof/>
          <w:szCs w:val="24"/>
        </w:rPr>
      </w:sdtEndPr>
      <w:sdtContent>
        <w:p w14:paraId="6F8E5529" w14:textId="77777777" w:rsidR="00C575A7" w:rsidRDefault="00C575A7">
          <w:pPr>
            <w:pStyle w:val="TOCHeading"/>
          </w:pPr>
        </w:p>
        <w:p w14:paraId="5A92C1E5" w14:textId="77777777" w:rsidR="00902215" w:rsidRPr="00902215" w:rsidRDefault="00902215" w:rsidP="00902215">
          <w:pPr>
            <w:rPr>
              <w:lang w:val="en-US" w:eastAsia="ja-JP"/>
            </w:rPr>
          </w:pPr>
        </w:p>
        <w:p w14:paraId="372407EA" w14:textId="1A7642CA" w:rsidR="001D312D" w:rsidRPr="00252865" w:rsidRDefault="001D312D" w:rsidP="00902215">
          <w:pPr>
            <w:pStyle w:val="Heading2"/>
            <w:rPr>
              <w:rFonts w:asciiTheme="minorBidi" w:hAnsiTheme="minorBidi" w:cstheme="minorBidi"/>
              <w:b/>
              <w:bCs/>
              <w:sz w:val="20"/>
              <w:szCs w:val="20"/>
              <w:u w:val="single"/>
            </w:rPr>
          </w:pPr>
          <w:bookmarkStart w:id="0" w:name="_Toc236925674"/>
          <w:r w:rsidRPr="00252865">
            <w:rPr>
              <w:rFonts w:asciiTheme="minorBidi" w:hAnsiTheme="minorBidi" w:cstheme="minorBidi"/>
              <w:b/>
              <w:bCs/>
              <w:sz w:val="24"/>
              <w:szCs w:val="24"/>
              <w:u w:val="single"/>
            </w:rPr>
            <w:t>Contents</w:t>
          </w:r>
          <w:bookmarkEnd w:id="0"/>
          <w:r w:rsidR="00902215" w:rsidRPr="00252865">
            <w:rPr>
              <w:rFonts w:asciiTheme="minorBidi" w:hAnsiTheme="minorBidi" w:cstheme="minorBidi"/>
              <w:b/>
              <w:bCs/>
              <w:sz w:val="20"/>
              <w:szCs w:val="20"/>
              <w:u w:val="single"/>
            </w:rPr>
            <w:br/>
          </w:r>
        </w:p>
        <w:p w14:paraId="0FE1BFB2" w14:textId="13525A96" w:rsidR="00252865" w:rsidRPr="00252865" w:rsidRDefault="001D312D">
          <w:pPr>
            <w:pStyle w:val="TOC2"/>
            <w:tabs>
              <w:tab w:val="right" w:leader="dot" w:pos="9204"/>
            </w:tabs>
            <w:rPr>
              <w:rFonts w:asciiTheme="minorBidi" w:eastAsiaTheme="minorEastAsia" w:hAnsiTheme="minorBidi" w:cstheme="minorBidi"/>
              <w:noProof/>
              <w:kern w:val="2"/>
              <w:sz w:val="22"/>
              <w:szCs w:val="22"/>
              <w14:ligatures w14:val="standardContextual"/>
            </w:rPr>
          </w:pPr>
          <w:r w:rsidRPr="007E72D2">
            <w:rPr>
              <w:rFonts w:asciiTheme="minorBidi" w:hAnsiTheme="minorBidi" w:cstheme="minorBidi"/>
              <w:sz w:val="20"/>
            </w:rPr>
            <w:fldChar w:fldCharType="begin"/>
          </w:r>
          <w:r w:rsidRPr="007E72D2">
            <w:rPr>
              <w:rFonts w:asciiTheme="minorBidi" w:hAnsiTheme="minorBidi" w:cstheme="minorBidi"/>
              <w:sz w:val="20"/>
            </w:rPr>
            <w:instrText xml:space="preserve"> TOC \o "1-3" \h \z \u </w:instrText>
          </w:r>
          <w:r w:rsidRPr="007E72D2">
            <w:rPr>
              <w:rFonts w:asciiTheme="minorBidi" w:hAnsiTheme="minorBidi" w:cstheme="minorBidi"/>
              <w:sz w:val="20"/>
            </w:rPr>
            <w:fldChar w:fldCharType="separate"/>
          </w:r>
          <w:hyperlink w:anchor="_Toc236925674" w:history="1">
            <w:r w:rsidR="00252865" w:rsidRPr="00252865">
              <w:rPr>
                <w:rStyle w:val="Hyperlink"/>
                <w:rFonts w:asciiTheme="minorBidi" w:hAnsiTheme="minorBidi" w:cstheme="minorBidi"/>
                <w:noProof/>
                <w:sz w:val="22"/>
                <w:szCs w:val="18"/>
              </w:rPr>
              <w:t>Contents</w:t>
            </w:r>
            <w:r w:rsidR="00252865" w:rsidRPr="00252865">
              <w:rPr>
                <w:rFonts w:asciiTheme="minorBidi" w:hAnsiTheme="minorBidi" w:cstheme="minorBidi"/>
                <w:noProof/>
                <w:webHidden/>
                <w:sz w:val="22"/>
                <w:szCs w:val="18"/>
              </w:rPr>
              <w:tab/>
            </w:r>
            <w:r w:rsidR="00252865" w:rsidRPr="00252865">
              <w:rPr>
                <w:rFonts w:asciiTheme="minorBidi" w:hAnsiTheme="minorBidi" w:cstheme="minorBidi"/>
                <w:noProof/>
                <w:webHidden/>
                <w:sz w:val="22"/>
                <w:szCs w:val="18"/>
              </w:rPr>
              <w:fldChar w:fldCharType="begin"/>
            </w:r>
            <w:r w:rsidR="00252865" w:rsidRPr="00252865">
              <w:rPr>
                <w:rFonts w:asciiTheme="minorBidi" w:hAnsiTheme="minorBidi" w:cstheme="minorBidi"/>
                <w:noProof/>
                <w:webHidden/>
                <w:sz w:val="22"/>
                <w:szCs w:val="18"/>
              </w:rPr>
              <w:instrText xml:space="preserve"> PAGEREF _Toc236925674 \h </w:instrText>
            </w:r>
            <w:r w:rsidR="00252865" w:rsidRPr="00252865">
              <w:rPr>
                <w:rFonts w:asciiTheme="minorBidi" w:hAnsiTheme="minorBidi" w:cstheme="minorBidi"/>
                <w:noProof/>
                <w:webHidden/>
                <w:sz w:val="22"/>
                <w:szCs w:val="18"/>
              </w:rPr>
            </w:r>
            <w:r w:rsidR="00252865" w:rsidRPr="00252865">
              <w:rPr>
                <w:rFonts w:asciiTheme="minorBidi" w:hAnsiTheme="minorBidi" w:cstheme="minorBidi"/>
                <w:noProof/>
                <w:webHidden/>
                <w:sz w:val="22"/>
                <w:szCs w:val="18"/>
              </w:rPr>
              <w:fldChar w:fldCharType="separate"/>
            </w:r>
            <w:r w:rsidR="00252865" w:rsidRPr="00252865">
              <w:rPr>
                <w:rFonts w:asciiTheme="minorBidi" w:hAnsiTheme="minorBidi" w:cstheme="minorBidi"/>
                <w:noProof/>
                <w:webHidden/>
                <w:sz w:val="22"/>
                <w:szCs w:val="18"/>
              </w:rPr>
              <w:t>2</w:t>
            </w:r>
            <w:r w:rsidR="00252865" w:rsidRPr="00252865">
              <w:rPr>
                <w:rFonts w:asciiTheme="minorBidi" w:hAnsiTheme="minorBidi" w:cstheme="minorBidi"/>
                <w:noProof/>
                <w:webHidden/>
                <w:sz w:val="22"/>
                <w:szCs w:val="18"/>
              </w:rPr>
              <w:fldChar w:fldCharType="end"/>
            </w:r>
          </w:hyperlink>
        </w:p>
        <w:p w14:paraId="6283DBDD" w14:textId="4DFB7C2E" w:rsidR="00252865" w:rsidRPr="00252865" w:rsidRDefault="00252865">
          <w:pPr>
            <w:pStyle w:val="TOC2"/>
            <w:tabs>
              <w:tab w:val="right" w:leader="dot" w:pos="9204"/>
            </w:tabs>
            <w:rPr>
              <w:rFonts w:asciiTheme="minorBidi" w:eastAsiaTheme="minorEastAsia" w:hAnsiTheme="minorBidi" w:cstheme="minorBidi"/>
              <w:noProof/>
              <w:kern w:val="2"/>
              <w:sz w:val="22"/>
              <w:szCs w:val="22"/>
              <w14:ligatures w14:val="standardContextual"/>
            </w:rPr>
          </w:pPr>
          <w:hyperlink w:anchor="_Toc236925675" w:history="1">
            <w:r w:rsidRPr="00252865">
              <w:rPr>
                <w:rStyle w:val="Hyperlink"/>
                <w:rFonts w:asciiTheme="minorBidi" w:hAnsiTheme="minorBidi" w:cstheme="minorBidi"/>
                <w:noProof/>
                <w:sz w:val="22"/>
                <w:szCs w:val="18"/>
              </w:rPr>
              <w:t>Introduction</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_Toc236925675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4</w:t>
            </w:r>
            <w:r w:rsidRPr="00252865">
              <w:rPr>
                <w:rFonts w:asciiTheme="minorBidi" w:hAnsiTheme="minorBidi" w:cstheme="minorBidi"/>
                <w:noProof/>
                <w:webHidden/>
                <w:sz w:val="22"/>
                <w:szCs w:val="18"/>
              </w:rPr>
              <w:fldChar w:fldCharType="end"/>
            </w:r>
          </w:hyperlink>
        </w:p>
        <w:p w14:paraId="7796A312" w14:textId="47969F80"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76" w:history="1">
            <w:r w:rsidRPr="00252865">
              <w:rPr>
                <w:rStyle w:val="Hyperlink"/>
                <w:rFonts w:asciiTheme="minorBidi" w:hAnsiTheme="minorBidi" w:cstheme="minorBidi"/>
                <w:noProof/>
                <w:sz w:val="22"/>
                <w:szCs w:val="18"/>
              </w:rPr>
              <w:t>Background</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_Toc236925676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4</w:t>
            </w:r>
            <w:r w:rsidRPr="00252865">
              <w:rPr>
                <w:rFonts w:asciiTheme="minorBidi" w:hAnsiTheme="minorBidi" w:cstheme="minorBidi"/>
                <w:noProof/>
                <w:webHidden/>
                <w:sz w:val="22"/>
                <w:szCs w:val="18"/>
              </w:rPr>
              <w:fldChar w:fldCharType="end"/>
            </w:r>
          </w:hyperlink>
        </w:p>
        <w:p w14:paraId="68FAD80E" w14:textId="3F67A7BA"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77" w:history="1">
            <w:r w:rsidRPr="00252865">
              <w:rPr>
                <w:rStyle w:val="Hyperlink"/>
                <w:rFonts w:asciiTheme="minorBidi" w:hAnsiTheme="minorBidi" w:cstheme="minorBidi"/>
                <w:noProof/>
                <w:sz w:val="22"/>
                <w:szCs w:val="18"/>
              </w:rPr>
              <w:t>Scope of this document</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_Toc236925677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4</w:t>
            </w:r>
            <w:r w:rsidRPr="00252865">
              <w:rPr>
                <w:rFonts w:asciiTheme="minorBidi" w:hAnsiTheme="minorBidi" w:cstheme="minorBidi"/>
                <w:noProof/>
                <w:webHidden/>
                <w:sz w:val="22"/>
                <w:szCs w:val="18"/>
              </w:rPr>
              <w:fldChar w:fldCharType="end"/>
            </w:r>
          </w:hyperlink>
        </w:p>
        <w:p w14:paraId="7A3F8E4A" w14:textId="6CFC56F3" w:rsidR="00252865" w:rsidRPr="00252865" w:rsidRDefault="00252865">
          <w:pPr>
            <w:pStyle w:val="TOC2"/>
            <w:tabs>
              <w:tab w:val="right" w:leader="dot" w:pos="9204"/>
            </w:tabs>
            <w:rPr>
              <w:rFonts w:asciiTheme="minorBidi" w:eastAsiaTheme="minorEastAsia" w:hAnsiTheme="minorBidi" w:cstheme="minorBidi"/>
              <w:noProof/>
              <w:kern w:val="2"/>
              <w:sz w:val="22"/>
              <w:szCs w:val="22"/>
              <w14:ligatures w14:val="standardContextual"/>
            </w:rPr>
          </w:pPr>
          <w:hyperlink w:anchor="_Toc236925678" w:history="1">
            <w:r w:rsidRPr="00252865">
              <w:rPr>
                <w:rStyle w:val="Hyperlink"/>
                <w:rFonts w:asciiTheme="minorBidi" w:hAnsiTheme="minorBidi" w:cstheme="minorBidi"/>
                <w:noProof/>
                <w:sz w:val="22"/>
                <w:szCs w:val="18"/>
              </w:rPr>
              <w:t>Performance Management Requirements and Guidance</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_Toc236925678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5</w:t>
            </w:r>
            <w:r w:rsidRPr="00252865">
              <w:rPr>
                <w:rFonts w:asciiTheme="minorBidi" w:hAnsiTheme="minorBidi" w:cstheme="minorBidi"/>
                <w:noProof/>
                <w:webHidden/>
                <w:sz w:val="22"/>
                <w:szCs w:val="18"/>
              </w:rPr>
              <w:fldChar w:fldCharType="end"/>
            </w:r>
          </w:hyperlink>
        </w:p>
        <w:p w14:paraId="73429ABA" w14:textId="59388AC2"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79" w:history="1">
            <w:r w:rsidRPr="00252865">
              <w:rPr>
                <w:rStyle w:val="Hyperlink"/>
                <w:rFonts w:asciiTheme="minorBidi" w:hAnsiTheme="minorBidi" w:cstheme="minorBidi"/>
                <w:noProof/>
                <w:sz w:val="22"/>
                <w:szCs w:val="18"/>
              </w:rPr>
              <w:t>Franchise Guidelines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_Toc236925679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5</w:t>
            </w:r>
            <w:r w:rsidRPr="00252865">
              <w:rPr>
                <w:rFonts w:asciiTheme="minorBidi" w:hAnsiTheme="minorBidi" w:cstheme="minorBidi"/>
                <w:noProof/>
                <w:webHidden/>
                <w:sz w:val="22"/>
                <w:szCs w:val="18"/>
              </w:rPr>
              <w:fldChar w:fldCharType="end"/>
            </w:r>
          </w:hyperlink>
        </w:p>
        <w:p w14:paraId="5D36B67F" w14:textId="743A643E"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0" w:history="1">
            <w:r w:rsidRPr="00252865">
              <w:rPr>
                <w:rStyle w:val="Hyperlink"/>
                <w:rFonts w:asciiTheme="minorBidi" w:hAnsiTheme="minorBidi" w:cstheme="minorBidi"/>
                <w:noProof/>
                <w:sz w:val="22"/>
                <w:szCs w:val="18"/>
              </w:rPr>
              <w:t>Overwriting</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_Toc236925680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7</w:t>
            </w:r>
            <w:r w:rsidRPr="00252865">
              <w:rPr>
                <w:rFonts w:asciiTheme="minorBidi" w:hAnsiTheme="minorBidi" w:cstheme="minorBidi"/>
                <w:noProof/>
                <w:webHidden/>
                <w:sz w:val="22"/>
                <w:szCs w:val="18"/>
              </w:rPr>
              <w:fldChar w:fldCharType="end"/>
            </w:r>
          </w:hyperlink>
        </w:p>
        <w:p w14:paraId="170419C1" w14:textId="36DC6614"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1" w:history="1">
            <w:r w:rsidRPr="00252865">
              <w:rPr>
                <w:rStyle w:val="Hyperlink"/>
                <w:rFonts w:asciiTheme="minorBidi" w:hAnsiTheme="minorBidi" w:cstheme="minorBidi"/>
                <w:noProof/>
                <w:sz w:val="22"/>
                <w:szCs w:val="18"/>
              </w:rPr>
              <w:t>Rate Reductions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_Toc236925681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9</w:t>
            </w:r>
            <w:r w:rsidRPr="00252865">
              <w:rPr>
                <w:rFonts w:asciiTheme="minorBidi" w:hAnsiTheme="minorBidi" w:cstheme="minorBidi"/>
                <w:noProof/>
                <w:webHidden/>
                <w:sz w:val="22"/>
                <w:szCs w:val="18"/>
              </w:rPr>
              <w:fldChar w:fldCharType="end"/>
            </w:r>
          </w:hyperlink>
        </w:p>
        <w:p w14:paraId="135CBF02" w14:textId="2F263FB0"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2" w:history="1">
            <w:r w:rsidRPr="00252865">
              <w:rPr>
                <w:rStyle w:val="Hyperlink"/>
                <w:rFonts w:asciiTheme="minorBidi" w:hAnsiTheme="minorBidi" w:cstheme="minorBidi"/>
                <w:noProof/>
                <w:sz w:val="22"/>
                <w:szCs w:val="18"/>
              </w:rPr>
              <w:t>Outwards Reinsurance</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_Toc236925682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9</w:t>
            </w:r>
            <w:r w:rsidRPr="00252865">
              <w:rPr>
                <w:rFonts w:asciiTheme="minorBidi" w:hAnsiTheme="minorBidi" w:cstheme="minorBidi"/>
                <w:noProof/>
                <w:webHidden/>
                <w:sz w:val="22"/>
                <w:szCs w:val="18"/>
              </w:rPr>
              <w:fldChar w:fldCharType="end"/>
            </w:r>
          </w:hyperlink>
        </w:p>
        <w:p w14:paraId="6818648D" w14:textId="0B9924EB"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3" w:history="1">
            <w:r w:rsidRPr="00252865">
              <w:rPr>
                <w:rStyle w:val="Hyperlink"/>
                <w:rFonts w:asciiTheme="minorBidi" w:hAnsiTheme="minorBidi" w:cstheme="minorBidi"/>
                <w:noProof/>
                <w:sz w:val="22"/>
                <w:szCs w:val="18"/>
              </w:rPr>
              <w:t>Disclosure of Related Party and Other Transactions which May Give Rise to a Conflict of Interest</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_Toc236925683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14</w:t>
            </w:r>
            <w:r w:rsidRPr="00252865">
              <w:rPr>
                <w:rFonts w:asciiTheme="minorBidi" w:hAnsiTheme="minorBidi" w:cstheme="minorBidi"/>
                <w:noProof/>
                <w:webHidden/>
                <w:sz w:val="22"/>
                <w:szCs w:val="18"/>
              </w:rPr>
              <w:fldChar w:fldCharType="end"/>
            </w:r>
          </w:hyperlink>
        </w:p>
        <w:p w14:paraId="0AD6513D" w14:textId="216182A4"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4" w:history="1">
            <w:r w:rsidRPr="00252865">
              <w:rPr>
                <w:rStyle w:val="Hyperlink"/>
                <w:rFonts w:asciiTheme="minorBidi" w:hAnsiTheme="minorBidi" w:cstheme="minorBidi"/>
                <w:noProof/>
                <w:sz w:val="22"/>
                <w:szCs w:val="18"/>
              </w:rPr>
              <w:t>Distribution Costs, Broker Remuneration and Additional Charges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_Toc236925684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15</w:t>
            </w:r>
            <w:r w:rsidRPr="00252865">
              <w:rPr>
                <w:rFonts w:asciiTheme="minorBidi" w:hAnsiTheme="minorBidi" w:cstheme="minorBidi"/>
                <w:noProof/>
                <w:webHidden/>
                <w:sz w:val="22"/>
                <w:szCs w:val="18"/>
              </w:rPr>
              <w:fldChar w:fldCharType="end"/>
            </w:r>
          </w:hyperlink>
        </w:p>
        <w:p w14:paraId="5AF746BC" w14:textId="33926665"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5" w:history="1">
            <w:r w:rsidRPr="00252865">
              <w:rPr>
                <w:rStyle w:val="Hyperlink"/>
                <w:rFonts w:asciiTheme="minorBidi" w:hAnsiTheme="minorBidi" w:cstheme="minorBidi"/>
                <w:noProof/>
                <w:sz w:val="22"/>
                <w:szCs w:val="18"/>
              </w:rPr>
              <w:t>“Grossing Up”/Net-Equivalent Clauses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_Toc236925685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18</w:t>
            </w:r>
            <w:r w:rsidRPr="00252865">
              <w:rPr>
                <w:rFonts w:asciiTheme="minorBidi" w:hAnsiTheme="minorBidi" w:cstheme="minorBidi"/>
                <w:noProof/>
                <w:webHidden/>
                <w:sz w:val="22"/>
                <w:szCs w:val="18"/>
              </w:rPr>
              <w:fldChar w:fldCharType="end"/>
            </w:r>
          </w:hyperlink>
        </w:p>
        <w:p w14:paraId="5B616F44" w14:textId="44C68530"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6" w:history="1">
            <w:r w:rsidRPr="00252865">
              <w:rPr>
                <w:rStyle w:val="Hyperlink"/>
                <w:rFonts w:asciiTheme="minorBidi" w:hAnsiTheme="minorBidi" w:cstheme="minorBidi"/>
                <w:noProof/>
                <w:sz w:val="22"/>
                <w:szCs w:val="18"/>
              </w:rPr>
              <w:t>Reinsurance to Close</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_Toc236925686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18</w:t>
            </w:r>
            <w:r w:rsidRPr="00252865">
              <w:rPr>
                <w:rFonts w:asciiTheme="minorBidi" w:hAnsiTheme="minorBidi" w:cstheme="minorBidi"/>
                <w:noProof/>
                <w:webHidden/>
                <w:sz w:val="22"/>
                <w:szCs w:val="18"/>
              </w:rPr>
              <w:fldChar w:fldCharType="end"/>
            </w:r>
          </w:hyperlink>
        </w:p>
        <w:p w14:paraId="43F65CCB" w14:textId="35C624D4"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7" w:history="1">
            <w:r w:rsidRPr="00252865">
              <w:rPr>
                <w:rStyle w:val="Hyperlink"/>
                <w:rFonts w:asciiTheme="minorBidi" w:hAnsiTheme="minorBidi" w:cstheme="minorBidi"/>
                <w:noProof/>
                <w:sz w:val="22"/>
                <w:szCs w:val="18"/>
              </w:rPr>
              <w:t>Special Termination/Downgrade and Funding Clauses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_Toc236925687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20</w:t>
            </w:r>
            <w:r w:rsidRPr="00252865">
              <w:rPr>
                <w:rFonts w:asciiTheme="minorBidi" w:hAnsiTheme="minorBidi" w:cstheme="minorBidi"/>
                <w:noProof/>
                <w:webHidden/>
                <w:sz w:val="22"/>
                <w:szCs w:val="18"/>
              </w:rPr>
              <w:fldChar w:fldCharType="end"/>
            </w:r>
          </w:hyperlink>
        </w:p>
        <w:p w14:paraId="5D52B076" w14:textId="75BB5BB6"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8" w:history="1">
            <w:r w:rsidRPr="00252865">
              <w:rPr>
                <w:rStyle w:val="Hyperlink"/>
                <w:rFonts w:asciiTheme="minorBidi" w:hAnsiTheme="minorBidi" w:cstheme="minorBidi"/>
                <w:noProof/>
                <w:sz w:val="22"/>
                <w:szCs w:val="18"/>
              </w:rPr>
              <w:t>General Insurance Contracts Involving Risks Relating to the Death of an Individual</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_Toc236925688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20</w:t>
            </w:r>
            <w:r w:rsidRPr="00252865">
              <w:rPr>
                <w:rFonts w:asciiTheme="minorBidi" w:hAnsiTheme="minorBidi" w:cstheme="minorBidi"/>
                <w:noProof/>
                <w:webHidden/>
                <w:sz w:val="22"/>
                <w:szCs w:val="18"/>
              </w:rPr>
              <w:fldChar w:fldCharType="end"/>
            </w:r>
          </w:hyperlink>
        </w:p>
        <w:p w14:paraId="48487B1B" w14:textId="1A84BB3F"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89" w:history="1">
            <w:r w:rsidRPr="00252865">
              <w:rPr>
                <w:rStyle w:val="Hyperlink"/>
                <w:rFonts w:asciiTheme="minorBidi" w:hAnsiTheme="minorBidi" w:cstheme="minorBidi"/>
                <w:noProof/>
                <w:sz w:val="22"/>
                <w:szCs w:val="18"/>
              </w:rPr>
              <w:t>Market Reform Contracts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_Toc236925689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21</w:t>
            </w:r>
            <w:r w:rsidRPr="00252865">
              <w:rPr>
                <w:rFonts w:asciiTheme="minorBidi" w:hAnsiTheme="minorBidi" w:cstheme="minorBidi"/>
                <w:noProof/>
                <w:webHidden/>
                <w:sz w:val="22"/>
                <w:szCs w:val="18"/>
              </w:rPr>
              <w:fldChar w:fldCharType="end"/>
            </w:r>
          </w:hyperlink>
        </w:p>
        <w:p w14:paraId="1FA7854A" w14:textId="11508220"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90" w:history="1">
            <w:r w:rsidRPr="00252865">
              <w:rPr>
                <w:rStyle w:val="Hyperlink"/>
                <w:rFonts w:asciiTheme="minorBidi" w:hAnsiTheme="minorBidi" w:cstheme="minorBidi"/>
                <w:noProof/>
                <w:sz w:val="22"/>
                <w:szCs w:val="18"/>
              </w:rPr>
              <w:t>Inception Date Allocation</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_Toc236925690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21</w:t>
            </w:r>
            <w:r w:rsidRPr="00252865">
              <w:rPr>
                <w:rFonts w:asciiTheme="minorBidi" w:hAnsiTheme="minorBidi" w:cstheme="minorBidi"/>
                <w:noProof/>
                <w:webHidden/>
                <w:sz w:val="22"/>
                <w:szCs w:val="18"/>
              </w:rPr>
              <w:fldChar w:fldCharType="end"/>
            </w:r>
          </w:hyperlink>
        </w:p>
        <w:p w14:paraId="78B1307C" w14:textId="0DE37E3A" w:rsidR="00252865" w:rsidRPr="00252865" w:rsidRDefault="00252865">
          <w:pPr>
            <w:pStyle w:val="TOC2"/>
            <w:tabs>
              <w:tab w:val="right" w:leader="dot" w:pos="9204"/>
            </w:tabs>
            <w:rPr>
              <w:rFonts w:asciiTheme="minorBidi" w:eastAsiaTheme="minorEastAsia" w:hAnsiTheme="minorBidi" w:cstheme="minorBidi"/>
              <w:noProof/>
              <w:kern w:val="2"/>
              <w:sz w:val="22"/>
              <w:szCs w:val="22"/>
              <w14:ligatures w14:val="standardContextual"/>
            </w:rPr>
          </w:pPr>
          <w:hyperlink w:anchor="_Toc236925691" w:history="1">
            <w:r w:rsidRPr="00252865">
              <w:rPr>
                <w:rStyle w:val="Hyperlink"/>
                <w:rFonts w:asciiTheme="minorBidi" w:hAnsiTheme="minorBidi" w:cstheme="minorBidi"/>
                <w:noProof/>
                <w:sz w:val="22"/>
                <w:szCs w:val="18"/>
              </w:rPr>
              <w:t>Classes Subject to Additional Oversight and/or Approval</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_Toc236925691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23</w:t>
            </w:r>
            <w:r w:rsidRPr="00252865">
              <w:rPr>
                <w:rFonts w:asciiTheme="minorBidi" w:hAnsiTheme="minorBidi" w:cstheme="minorBidi"/>
                <w:noProof/>
                <w:webHidden/>
                <w:sz w:val="22"/>
                <w:szCs w:val="18"/>
              </w:rPr>
              <w:fldChar w:fldCharType="end"/>
            </w:r>
          </w:hyperlink>
        </w:p>
        <w:p w14:paraId="409E05A0" w14:textId="7C8B4CB8"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92" w:history="1">
            <w:r w:rsidRPr="00252865">
              <w:rPr>
                <w:rStyle w:val="Hyperlink"/>
                <w:rFonts w:asciiTheme="minorBidi" w:hAnsiTheme="minorBidi" w:cstheme="minorBidi"/>
                <w:noProof/>
                <w:sz w:val="22"/>
                <w:szCs w:val="18"/>
              </w:rPr>
              <w:t>War &amp; NCBR Exposures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_Toc236925692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23</w:t>
            </w:r>
            <w:r w:rsidRPr="00252865">
              <w:rPr>
                <w:rFonts w:asciiTheme="minorBidi" w:hAnsiTheme="minorBidi" w:cstheme="minorBidi"/>
                <w:noProof/>
                <w:webHidden/>
                <w:sz w:val="22"/>
                <w:szCs w:val="18"/>
              </w:rPr>
              <w:fldChar w:fldCharType="end"/>
            </w:r>
          </w:hyperlink>
        </w:p>
        <w:p w14:paraId="094A9947" w14:textId="5021D33F"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93" w:history="1">
            <w:r w:rsidRPr="00252865">
              <w:rPr>
                <w:rStyle w:val="Hyperlink"/>
                <w:rFonts w:asciiTheme="minorBidi" w:hAnsiTheme="minorBidi" w:cstheme="minorBidi"/>
                <w:noProof/>
                <w:sz w:val="22"/>
                <w:szCs w:val="18"/>
              </w:rPr>
              <w:t>Credit</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_Toc236925693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25</w:t>
            </w:r>
            <w:r w:rsidRPr="00252865">
              <w:rPr>
                <w:rFonts w:asciiTheme="minorBidi" w:hAnsiTheme="minorBidi" w:cstheme="minorBidi"/>
                <w:noProof/>
                <w:webHidden/>
                <w:sz w:val="22"/>
                <w:szCs w:val="18"/>
              </w:rPr>
              <w:fldChar w:fldCharType="end"/>
            </w:r>
          </w:hyperlink>
        </w:p>
        <w:p w14:paraId="0DE6FD95" w14:textId="149E3B33"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94" w:history="1">
            <w:r w:rsidRPr="00252865">
              <w:rPr>
                <w:rStyle w:val="Hyperlink"/>
                <w:rFonts w:asciiTheme="minorBidi" w:hAnsiTheme="minorBidi" w:cstheme="minorBidi"/>
                <w:noProof/>
                <w:sz w:val="22"/>
                <w:szCs w:val="18"/>
              </w:rPr>
              <w:t>Viatical &amp; Life Settlements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_Toc236925694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25</w:t>
            </w:r>
            <w:r w:rsidRPr="00252865">
              <w:rPr>
                <w:rFonts w:asciiTheme="minorBidi" w:hAnsiTheme="minorBidi" w:cstheme="minorBidi"/>
                <w:noProof/>
                <w:webHidden/>
                <w:sz w:val="22"/>
                <w:szCs w:val="18"/>
              </w:rPr>
              <w:fldChar w:fldCharType="end"/>
            </w:r>
          </w:hyperlink>
        </w:p>
        <w:p w14:paraId="719AE6DC" w14:textId="7C972B2E" w:rsidR="00252865" w:rsidRPr="00252865" w:rsidRDefault="00252865">
          <w:pPr>
            <w:pStyle w:val="TOC3"/>
            <w:rPr>
              <w:rFonts w:asciiTheme="minorBidi" w:eastAsiaTheme="minorEastAsia" w:hAnsiTheme="minorBidi" w:cstheme="minorBidi"/>
              <w:noProof/>
              <w:kern w:val="2"/>
              <w:sz w:val="22"/>
              <w:szCs w:val="22"/>
              <w14:ligatures w14:val="standardContextual"/>
            </w:rPr>
          </w:pPr>
          <w:hyperlink w:anchor="_Toc236925695" w:history="1">
            <w:r w:rsidRPr="00252865">
              <w:rPr>
                <w:rStyle w:val="Hyperlink"/>
                <w:rFonts w:asciiTheme="minorBidi" w:hAnsiTheme="minorBidi" w:cstheme="minorBidi"/>
                <w:noProof/>
                <w:sz w:val="22"/>
                <w:szCs w:val="18"/>
              </w:rPr>
              <w:t>Retrospective Reinsurance</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_Toc236925695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25</w:t>
            </w:r>
            <w:r w:rsidRPr="00252865">
              <w:rPr>
                <w:rFonts w:asciiTheme="minorBidi" w:hAnsiTheme="minorBidi" w:cstheme="minorBidi"/>
                <w:noProof/>
                <w:webHidden/>
                <w:sz w:val="22"/>
                <w:szCs w:val="18"/>
              </w:rPr>
              <w:fldChar w:fldCharType="end"/>
            </w:r>
          </w:hyperlink>
        </w:p>
        <w:p w14:paraId="5E978CCB" w14:textId="664A29FE" w:rsidR="00252865" w:rsidRDefault="00252865">
          <w:pPr>
            <w:pStyle w:val="TOC3"/>
            <w:rPr>
              <w:rFonts w:asciiTheme="minorHAnsi" w:eastAsiaTheme="minorEastAsia" w:hAnsiTheme="minorHAnsi" w:cstheme="minorBidi"/>
              <w:noProof/>
              <w:kern w:val="2"/>
              <w:szCs w:val="24"/>
              <w14:ligatures w14:val="standardContextual"/>
            </w:rPr>
          </w:pPr>
          <w:hyperlink w:anchor="_Toc236925696" w:history="1">
            <w:r w:rsidRPr="00252865">
              <w:rPr>
                <w:rStyle w:val="Hyperlink"/>
                <w:rFonts w:asciiTheme="minorBidi" w:hAnsiTheme="minorBidi" w:cstheme="minorBidi"/>
                <w:noProof/>
                <w:sz w:val="22"/>
                <w:szCs w:val="18"/>
              </w:rPr>
              <w:t>US and Canadian Cannabis Risks</w:t>
            </w:r>
            <w:r w:rsidRPr="00252865">
              <w:rPr>
                <w:rFonts w:asciiTheme="minorBidi" w:hAnsiTheme="minorBidi" w:cstheme="minorBidi"/>
                <w:noProof/>
                <w:webHidden/>
                <w:sz w:val="22"/>
                <w:szCs w:val="18"/>
              </w:rPr>
              <w:tab/>
            </w:r>
            <w:r w:rsidRPr="00252865">
              <w:rPr>
                <w:rFonts w:asciiTheme="minorBidi" w:hAnsiTheme="minorBidi" w:cstheme="minorBidi"/>
                <w:noProof/>
                <w:webHidden/>
                <w:sz w:val="22"/>
                <w:szCs w:val="18"/>
              </w:rPr>
              <w:fldChar w:fldCharType="begin"/>
            </w:r>
            <w:r w:rsidRPr="00252865">
              <w:rPr>
                <w:rFonts w:asciiTheme="minorBidi" w:hAnsiTheme="minorBidi" w:cstheme="minorBidi"/>
                <w:noProof/>
                <w:webHidden/>
                <w:sz w:val="22"/>
                <w:szCs w:val="18"/>
              </w:rPr>
              <w:instrText xml:space="preserve"> PAGEREF _Toc236925696 \h </w:instrText>
            </w:r>
            <w:r w:rsidRPr="00252865">
              <w:rPr>
                <w:rFonts w:asciiTheme="minorBidi" w:hAnsiTheme="minorBidi" w:cstheme="minorBidi"/>
                <w:noProof/>
                <w:webHidden/>
                <w:sz w:val="22"/>
                <w:szCs w:val="18"/>
              </w:rPr>
            </w:r>
            <w:r w:rsidRPr="00252865">
              <w:rPr>
                <w:rFonts w:asciiTheme="minorBidi" w:hAnsiTheme="minorBidi" w:cstheme="minorBidi"/>
                <w:noProof/>
                <w:webHidden/>
                <w:sz w:val="22"/>
                <w:szCs w:val="18"/>
              </w:rPr>
              <w:fldChar w:fldCharType="separate"/>
            </w:r>
            <w:r w:rsidRPr="00252865">
              <w:rPr>
                <w:rFonts w:asciiTheme="minorBidi" w:hAnsiTheme="minorBidi" w:cstheme="minorBidi"/>
                <w:noProof/>
                <w:webHidden/>
                <w:sz w:val="22"/>
                <w:szCs w:val="18"/>
              </w:rPr>
              <w:t>26</w:t>
            </w:r>
            <w:r w:rsidRPr="00252865">
              <w:rPr>
                <w:rFonts w:asciiTheme="minorBidi" w:hAnsiTheme="minorBidi" w:cstheme="minorBidi"/>
                <w:noProof/>
                <w:webHidden/>
                <w:sz w:val="22"/>
                <w:szCs w:val="18"/>
              </w:rPr>
              <w:fldChar w:fldCharType="end"/>
            </w:r>
          </w:hyperlink>
        </w:p>
        <w:p w14:paraId="7C507193" w14:textId="77011FC9" w:rsidR="001D312D" w:rsidRDefault="001D312D">
          <w:r w:rsidRPr="007E72D2">
            <w:rPr>
              <w:rFonts w:asciiTheme="minorBidi" w:hAnsiTheme="minorBidi" w:cstheme="minorBidi"/>
              <w:b/>
              <w:bCs/>
              <w:noProof/>
              <w:sz w:val="20"/>
            </w:rPr>
            <w:fldChar w:fldCharType="end"/>
          </w:r>
        </w:p>
      </w:sdtContent>
    </w:sdt>
    <w:p w14:paraId="64BC9591" w14:textId="77777777" w:rsidR="00491E54" w:rsidRPr="00491E54" w:rsidRDefault="00491E54" w:rsidP="00491E54">
      <w:pPr>
        <w:tabs>
          <w:tab w:val="right" w:pos="5897"/>
        </w:tabs>
        <w:spacing w:after="120" w:line="240" w:lineRule="atLeast"/>
        <w:rPr>
          <w:rFonts w:ascii="Arial" w:hAnsi="Arial"/>
          <w:sz w:val="18"/>
        </w:rPr>
      </w:pPr>
    </w:p>
    <w:p w14:paraId="31C2D3F0" w14:textId="77777777" w:rsidR="00491E54" w:rsidRPr="00491E54" w:rsidRDefault="00491E54" w:rsidP="00491E54">
      <w:pPr>
        <w:tabs>
          <w:tab w:val="num" w:pos="85"/>
          <w:tab w:val="num" w:pos="284"/>
          <w:tab w:val="right" w:pos="5897"/>
        </w:tabs>
        <w:spacing w:after="320" w:line="320" w:lineRule="exact"/>
        <w:ind w:hanging="85"/>
        <w:outlineLvl w:val="0"/>
        <w:rPr>
          <w:rFonts w:ascii="Arial" w:hAnsi="Arial"/>
          <w:spacing w:val="-2"/>
          <w:kern w:val="28"/>
          <w:sz w:val="32"/>
          <w:szCs w:val="32"/>
        </w:rPr>
        <w:sectPr w:rsidR="00491E54" w:rsidRPr="00491E54" w:rsidSect="00C575A7">
          <w:headerReference w:type="first" r:id="rId12"/>
          <w:pgSz w:w="11907" w:h="16840" w:code="9"/>
          <w:pgMar w:top="1474" w:right="1417" w:bottom="1361" w:left="1276" w:header="720" w:footer="720" w:gutter="0"/>
          <w:cols w:space="720"/>
        </w:sectPr>
      </w:pPr>
    </w:p>
    <w:p w14:paraId="1A49661F" w14:textId="77777777" w:rsidR="00491E54" w:rsidRPr="00491E54" w:rsidRDefault="00491E54" w:rsidP="00491E54">
      <w:pPr>
        <w:tabs>
          <w:tab w:val="right" w:pos="5897"/>
        </w:tabs>
        <w:spacing w:after="120" w:line="240" w:lineRule="atLeast"/>
        <w:rPr>
          <w:rFonts w:ascii="Arial" w:hAnsi="Arial"/>
          <w:sz w:val="32"/>
          <w:szCs w:val="32"/>
        </w:rPr>
      </w:pPr>
      <w:r w:rsidRPr="00491E54">
        <w:rPr>
          <w:rFonts w:ascii="Arial" w:hAnsi="Arial"/>
          <w:sz w:val="32"/>
          <w:szCs w:val="32"/>
        </w:rPr>
        <w:lastRenderedPageBreak/>
        <w:t>Abbreviations</w:t>
      </w:r>
    </w:p>
    <w:p w14:paraId="0CDF7521" w14:textId="77777777" w:rsidR="00491E54" w:rsidRPr="00491E54" w:rsidRDefault="00491E54" w:rsidP="00491E54">
      <w:pPr>
        <w:tabs>
          <w:tab w:val="right" w:pos="5897"/>
        </w:tabs>
        <w:spacing w:line="240" w:lineRule="atLeast"/>
        <w:rPr>
          <w:rFonts w:ascii="Arial" w:hAnsi="Arial"/>
          <w:sz w:val="18"/>
          <w:szCs w:val="18"/>
        </w:rPr>
      </w:pPr>
      <w:r w:rsidRPr="00491E54">
        <w:rPr>
          <w:rFonts w:ascii="Arial" w:hAnsi="Arial"/>
          <w:sz w:val="18"/>
          <w:szCs w:val="18"/>
        </w:rPr>
        <w:t>In this document, the following abbreviations have been used:</w:t>
      </w:r>
    </w:p>
    <w:p w14:paraId="739D1980" w14:textId="77777777" w:rsidR="00491E54" w:rsidRPr="00491E54" w:rsidRDefault="00491E54" w:rsidP="00491E54">
      <w:pPr>
        <w:tabs>
          <w:tab w:val="right" w:pos="5897"/>
        </w:tabs>
        <w:spacing w:line="240" w:lineRule="atLeast"/>
        <w:rPr>
          <w:rFonts w:ascii="Arial" w:hAnsi="Arial"/>
          <w:sz w:val="18"/>
          <w:szCs w:val="18"/>
        </w:rPr>
      </w:pPr>
    </w:p>
    <w:p w14:paraId="6CE82B46"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ECA:</w:t>
      </w:r>
      <w:r w:rsidRPr="00491E54">
        <w:rPr>
          <w:rFonts w:ascii="Arial" w:hAnsi="Arial"/>
          <w:sz w:val="18"/>
          <w:szCs w:val="18"/>
        </w:rPr>
        <w:tab/>
        <w:t>Economic Capital Assessment</w:t>
      </w:r>
    </w:p>
    <w:p w14:paraId="21D10C4D"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GWP</w:t>
      </w:r>
      <w:r w:rsidRPr="00491E54">
        <w:rPr>
          <w:rFonts w:ascii="Arial" w:hAnsi="Arial"/>
          <w:sz w:val="18"/>
          <w:szCs w:val="18"/>
        </w:rPr>
        <w:tab/>
        <w:t>Gross Written Premium</w:t>
      </w:r>
    </w:p>
    <w:p w14:paraId="6BD1A0CA"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PMDR:</w:t>
      </w:r>
      <w:r w:rsidRPr="00491E54">
        <w:rPr>
          <w:rFonts w:ascii="Arial" w:hAnsi="Arial"/>
          <w:sz w:val="18"/>
          <w:szCs w:val="18"/>
        </w:rPr>
        <w:tab/>
        <w:t>Performance Monitoring Data Review</w:t>
      </w:r>
    </w:p>
    <w:p w14:paraId="641255C6"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RDS:</w:t>
      </w:r>
      <w:r w:rsidRPr="00491E54">
        <w:rPr>
          <w:rFonts w:ascii="Arial" w:hAnsi="Arial"/>
          <w:sz w:val="18"/>
          <w:szCs w:val="18"/>
        </w:rPr>
        <w:tab/>
        <w:t>Realistic Disaster Scenario</w:t>
      </w:r>
    </w:p>
    <w:p w14:paraId="2E717874"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RITC:</w:t>
      </w:r>
      <w:r w:rsidRPr="00491E54">
        <w:rPr>
          <w:rFonts w:ascii="Arial" w:hAnsi="Arial"/>
          <w:sz w:val="18"/>
          <w:szCs w:val="18"/>
        </w:rPr>
        <w:tab/>
        <w:t>Reinsurance to Close</w:t>
      </w:r>
    </w:p>
    <w:p w14:paraId="5226C6B7"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SBF:</w:t>
      </w:r>
      <w:r w:rsidRPr="00491E54">
        <w:rPr>
          <w:rFonts w:ascii="Arial" w:hAnsi="Arial"/>
          <w:sz w:val="18"/>
          <w:szCs w:val="18"/>
        </w:rPr>
        <w:tab/>
        <w:t>Syndicate Business Forecast</w:t>
      </w:r>
    </w:p>
    <w:p w14:paraId="34A24CBF"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SCR:</w:t>
      </w:r>
      <w:r w:rsidRPr="00491E54">
        <w:rPr>
          <w:rFonts w:ascii="Arial" w:hAnsi="Arial"/>
          <w:sz w:val="18"/>
          <w:szCs w:val="18"/>
        </w:rPr>
        <w:tab/>
        <w:t>Syndicate Capital Requirement</w:t>
      </w:r>
    </w:p>
    <w:p w14:paraId="5167154D" w14:textId="77777777" w:rsidR="00491E54" w:rsidRPr="00491E54" w:rsidRDefault="00491E54" w:rsidP="00491E54">
      <w:pPr>
        <w:tabs>
          <w:tab w:val="left" w:pos="993"/>
          <w:tab w:val="right" w:pos="5897"/>
        </w:tabs>
        <w:spacing w:line="240" w:lineRule="atLeast"/>
        <w:rPr>
          <w:rFonts w:ascii="Arial" w:hAnsi="Arial"/>
          <w:sz w:val="18"/>
          <w:szCs w:val="18"/>
        </w:rPr>
      </w:pPr>
    </w:p>
    <w:p w14:paraId="7AA9039C" w14:textId="77777777" w:rsidR="00491E54" w:rsidRPr="00491E54" w:rsidRDefault="00491E54" w:rsidP="00491E54">
      <w:pPr>
        <w:tabs>
          <w:tab w:val="left" w:pos="993"/>
          <w:tab w:val="right" w:pos="5897"/>
        </w:tabs>
        <w:spacing w:line="240" w:lineRule="atLeast"/>
        <w:rPr>
          <w:rFonts w:ascii="Arial" w:hAnsi="Arial"/>
          <w:sz w:val="18"/>
          <w:szCs w:val="18"/>
        </w:rPr>
      </w:pPr>
      <w:r w:rsidRPr="00491E54">
        <w:rPr>
          <w:rFonts w:ascii="Arial" w:hAnsi="Arial"/>
          <w:sz w:val="18"/>
          <w:szCs w:val="18"/>
        </w:rPr>
        <w:t>Other abbreviations are defined in the relevant section where they are used.</w:t>
      </w:r>
    </w:p>
    <w:p w14:paraId="40FC734E" w14:textId="77777777" w:rsidR="00491E54" w:rsidRPr="00491E54" w:rsidRDefault="00491E54" w:rsidP="00491E54">
      <w:pPr>
        <w:rPr>
          <w:rFonts w:ascii="Arial" w:hAnsi="Arial"/>
          <w:sz w:val="32"/>
          <w:szCs w:val="32"/>
        </w:rPr>
      </w:pPr>
      <w:r w:rsidRPr="00491E54">
        <w:rPr>
          <w:rFonts w:ascii="Arial" w:hAnsi="Arial"/>
          <w:sz w:val="32"/>
          <w:szCs w:val="32"/>
        </w:rPr>
        <w:br w:type="page"/>
      </w:r>
    </w:p>
    <w:p w14:paraId="2FE04616" w14:textId="77777777" w:rsidR="00491E54" w:rsidRPr="00491E54" w:rsidRDefault="00491E54" w:rsidP="00C575A7">
      <w:pPr>
        <w:pStyle w:val="Heading2"/>
      </w:pPr>
      <w:bookmarkStart w:id="1" w:name="_Toc236925675"/>
      <w:r w:rsidRPr="00491E54">
        <w:lastRenderedPageBreak/>
        <w:t>Introduction</w:t>
      </w:r>
      <w:bookmarkEnd w:id="1"/>
    </w:p>
    <w:p w14:paraId="49ED9029"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This document sets out supplemental requirements and guidance that relate to performance management in the Lloyd’s market.  </w:t>
      </w:r>
    </w:p>
    <w:p w14:paraId="39C04A63" w14:textId="77777777" w:rsidR="00491E54" w:rsidRPr="00AA6160" w:rsidRDefault="00491E54" w:rsidP="001A55A3">
      <w:pPr>
        <w:pStyle w:val="Heading3"/>
      </w:pPr>
      <w:bookmarkStart w:id="2" w:name="_Toc236925676"/>
      <w:r w:rsidRPr="00AA6160">
        <w:t>Background</w:t>
      </w:r>
      <w:bookmarkEnd w:id="2"/>
    </w:p>
    <w:p w14:paraId="20F29B79" w14:textId="6E6D715A"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Lloyd’s performance management framework provides that managing agents may only underwrite on behalf of the members of a syndicate in accordance with a business plan that has been agreed by Lloyd’s.  Lloyd’s also prescribes a number of Principles for Doing Business </w:t>
      </w:r>
      <w:r w:rsidR="000829B6">
        <w:rPr>
          <w:rFonts w:ascii="Arial" w:hAnsi="Arial"/>
          <w:sz w:val="18"/>
          <w:szCs w:val="18"/>
        </w:rPr>
        <w:t xml:space="preserve">(PBO) </w:t>
      </w:r>
      <w:r w:rsidRPr="00491E54">
        <w:rPr>
          <w:rFonts w:ascii="Arial" w:hAnsi="Arial"/>
          <w:sz w:val="18"/>
          <w:szCs w:val="18"/>
        </w:rPr>
        <w:t>at Lloyd’s against which the capabilities of managing agents are assessed.</w:t>
      </w:r>
    </w:p>
    <w:p w14:paraId="16432CD4" w14:textId="51D066D6"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In a number of areas, the Market</w:t>
      </w:r>
      <w:r w:rsidR="00427B8C">
        <w:rPr>
          <w:rFonts w:ascii="Arial" w:hAnsi="Arial"/>
          <w:sz w:val="18"/>
          <w:szCs w:val="18"/>
        </w:rPr>
        <w:t xml:space="preserve"> Performance</w:t>
      </w:r>
      <w:r w:rsidRPr="00491E54">
        <w:rPr>
          <w:rFonts w:ascii="Arial" w:hAnsi="Arial"/>
          <w:sz w:val="18"/>
          <w:szCs w:val="18"/>
        </w:rPr>
        <w:t xml:space="preserve"> function has issued supplemental requirements and guidance which relate to performance management issues.  In a number of cases these requirements have been concerned with the underwriting of particular classes of business.  In many instances, Lloyd’s considers that compliance with these requirements is a matter of prudential concern for the market.  </w:t>
      </w:r>
    </w:p>
    <w:p w14:paraId="2A1B7983"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Whereas, in the past, these requirements have been issued in the form of Market Bulletins or as emails, they are now consolidated in this document.  The intention of this document is to provide managing agents with a single point of reference for Lloyd’s supplemental performance management requirements and guidance.  It supersedes and replaces the earlier Market Bulletins or emails covering the same topics.</w:t>
      </w:r>
    </w:p>
    <w:p w14:paraId="7B116EC7" w14:textId="77777777" w:rsidR="00491E54" w:rsidRPr="00491E54" w:rsidRDefault="00491E54" w:rsidP="001A55A3">
      <w:pPr>
        <w:pStyle w:val="Heading3"/>
      </w:pPr>
      <w:bookmarkStart w:id="3" w:name="_Toc236925677"/>
      <w:r w:rsidRPr="00491E54">
        <w:t>Scope of this document</w:t>
      </w:r>
      <w:bookmarkEnd w:id="3"/>
    </w:p>
    <w:p w14:paraId="66D3C07A" w14:textId="49C7CAB1"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While this document includes requirements and guidance that are relevant to all parts of the Market</w:t>
      </w:r>
      <w:r w:rsidR="004C55CC">
        <w:rPr>
          <w:rFonts w:ascii="Arial" w:hAnsi="Arial"/>
          <w:sz w:val="18"/>
          <w:szCs w:val="18"/>
        </w:rPr>
        <w:t xml:space="preserve"> Performance</w:t>
      </w:r>
      <w:r w:rsidRPr="00491E54">
        <w:rPr>
          <w:rFonts w:ascii="Arial" w:hAnsi="Arial"/>
          <w:sz w:val="18"/>
          <w:szCs w:val="18"/>
        </w:rPr>
        <w:t xml:space="preserve"> function, the topics covered are primarily concerned with underwriting and business plan matters.  This document does not cover delegated authority requirements, which are addressed separately.</w:t>
      </w:r>
    </w:p>
    <w:p w14:paraId="648BEFA5"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This document also does not include requirements or guidance that are specific to compliance with the Lloyd’s annual timetable.  These matters will continue to be dealt with in Market Bulletins or emails to the market.</w:t>
      </w:r>
    </w:p>
    <w:p w14:paraId="67757949"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Where managing agents are in any doubt as to the application of the requirements or guidance set out in this document they should raise the matter with the relevant account manager.</w:t>
      </w:r>
    </w:p>
    <w:p w14:paraId="20BAD863" w14:textId="77777777" w:rsidR="00491E54" w:rsidRPr="00491E54" w:rsidRDefault="00491E54" w:rsidP="00491E54">
      <w:pPr>
        <w:tabs>
          <w:tab w:val="right" w:pos="5897"/>
        </w:tabs>
        <w:spacing w:after="240" w:line="240" w:lineRule="atLeast"/>
        <w:rPr>
          <w:rFonts w:ascii="Arial" w:hAnsi="Arial"/>
          <w:b/>
          <w:color w:val="1E35BF"/>
          <w:sz w:val="22"/>
          <w:szCs w:val="22"/>
        </w:rPr>
      </w:pPr>
      <w:r w:rsidRPr="00491E54">
        <w:rPr>
          <w:rFonts w:ascii="Arial" w:hAnsi="Arial"/>
          <w:b/>
          <w:color w:val="1E35BF"/>
          <w:sz w:val="22"/>
          <w:szCs w:val="22"/>
        </w:rPr>
        <w:t>Updates to this Document</w:t>
      </w:r>
    </w:p>
    <w:p w14:paraId="3B0C12E6" w14:textId="00A24E2E"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This document updates and replaces the version of this document issued in June 202</w:t>
      </w:r>
      <w:r w:rsidR="001006B4">
        <w:rPr>
          <w:rFonts w:ascii="Arial" w:hAnsi="Arial"/>
          <w:sz w:val="18"/>
          <w:szCs w:val="18"/>
        </w:rPr>
        <w:t>5</w:t>
      </w:r>
      <w:r w:rsidRPr="00491E54">
        <w:rPr>
          <w:rFonts w:ascii="Arial" w:hAnsi="Arial"/>
          <w:sz w:val="18"/>
          <w:szCs w:val="18"/>
        </w:rPr>
        <w:t>.</w:t>
      </w:r>
    </w:p>
    <w:p w14:paraId="593DDF97"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It is intended that this document will be updated and supplemented from time to time, to reflect changes to Lloyd’s requirements.</w:t>
      </w:r>
    </w:p>
    <w:p w14:paraId="35B77C1F" w14:textId="77777777" w:rsidR="00491E54" w:rsidRPr="00491E54" w:rsidRDefault="00491E54" w:rsidP="00491E54">
      <w:pPr>
        <w:tabs>
          <w:tab w:val="right" w:pos="5897"/>
        </w:tabs>
        <w:spacing w:after="240" w:line="240" w:lineRule="atLeast"/>
        <w:rPr>
          <w:rFonts w:ascii="Arial" w:hAnsi="Arial"/>
          <w:sz w:val="32"/>
          <w:szCs w:val="32"/>
        </w:rPr>
      </w:pPr>
      <w:r w:rsidRPr="00491E54">
        <w:rPr>
          <w:rFonts w:ascii="Arial" w:hAnsi="Arial"/>
          <w:sz w:val="18"/>
          <w:szCs w:val="18"/>
        </w:rPr>
        <w:t xml:space="preserve">A copy of this document can be downloaded from </w:t>
      </w:r>
      <w:hyperlink r:id="rId13" w:history="1">
        <w:r w:rsidRPr="00491E54">
          <w:rPr>
            <w:rFonts w:ascii="Arial" w:hAnsi="Arial"/>
            <w:color w:val="0000FF"/>
            <w:sz w:val="18"/>
            <w:szCs w:val="18"/>
            <w:u w:val="single"/>
          </w:rPr>
          <w:t>www.lloyds.com/supplementalrequirements</w:t>
        </w:r>
      </w:hyperlink>
      <w:r w:rsidRPr="00491E54">
        <w:rPr>
          <w:rFonts w:ascii="Arial" w:hAnsi="Arial"/>
          <w:sz w:val="18"/>
          <w:szCs w:val="18"/>
        </w:rPr>
        <w:t xml:space="preserve">. </w:t>
      </w:r>
      <w:r w:rsidRPr="00491E54">
        <w:rPr>
          <w:rFonts w:ascii="Arial" w:hAnsi="Arial"/>
          <w:sz w:val="32"/>
          <w:szCs w:val="32"/>
        </w:rPr>
        <w:br w:type="page"/>
      </w:r>
    </w:p>
    <w:p w14:paraId="5B218A0D" w14:textId="77777777" w:rsidR="00491E54" w:rsidRPr="00491E54" w:rsidRDefault="00491E54" w:rsidP="00AA6160">
      <w:pPr>
        <w:pStyle w:val="Heading2"/>
      </w:pPr>
      <w:bookmarkStart w:id="4" w:name="DEPARTMENT"/>
      <w:bookmarkStart w:id="5" w:name="_Toc236925678"/>
      <w:bookmarkEnd w:id="4"/>
      <w:r w:rsidRPr="00491E54">
        <w:lastRenderedPageBreak/>
        <w:t>Performance Management Requirements and Guidance</w:t>
      </w:r>
      <w:bookmarkEnd w:id="5"/>
    </w:p>
    <w:p w14:paraId="30B9F7EE" w14:textId="77777777" w:rsidR="00491E54" w:rsidRPr="00491E54" w:rsidRDefault="00491E54" w:rsidP="00491E54">
      <w:pPr>
        <w:tabs>
          <w:tab w:val="right" w:pos="5897"/>
        </w:tabs>
        <w:outlineLvl w:val="1"/>
        <w:rPr>
          <w:rFonts w:ascii="Arial" w:hAnsi="Arial"/>
          <w:spacing w:val="-2"/>
          <w:kern w:val="28"/>
          <w:sz w:val="22"/>
          <w:szCs w:val="22"/>
        </w:rPr>
      </w:pPr>
    </w:p>
    <w:p w14:paraId="69692BD1" w14:textId="77777777" w:rsidR="00491E54" w:rsidRPr="00491E54" w:rsidRDefault="00491E54" w:rsidP="001A55A3">
      <w:pPr>
        <w:pStyle w:val="Heading3"/>
      </w:pPr>
      <w:bookmarkStart w:id="6" w:name="_Toc236925679"/>
      <w:r w:rsidRPr="00491E54">
        <w:t>Franchise Guidelines</w:t>
      </w:r>
      <w:bookmarkEnd w:id="6"/>
    </w:p>
    <w:p w14:paraId="02C2E046" w14:textId="77777777" w:rsidR="00491E54" w:rsidRPr="00491E54" w:rsidRDefault="00491E54" w:rsidP="00491E54">
      <w:pPr>
        <w:tabs>
          <w:tab w:val="right" w:pos="5897"/>
        </w:tabs>
        <w:outlineLvl w:val="1"/>
        <w:rPr>
          <w:rFonts w:ascii="Arial" w:hAnsi="Arial"/>
          <w:color w:val="1E35BF"/>
          <w:spacing w:val="-2"/>
          <w:kern w:val="28"/>
          <w:sz w:val="28"/>
          <w:szCs w:val="28"/>
        </w:rPr>
      </w:pPr>
    </w:p>
    <w:p w14:paraId="09228DC3"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 guidelines set out below were developed by Lloyd’s to help managing agents to optimise and, where necessary, improve the performance of their syndicates.  The guidelines (subject to being updated) derive from the Chairman’s Strategy Group (CSG) consultation document and were arrived at following extensive consultation with the market.</w:t>
      </w:r>
    </w:p>
    <w:p w14:paraId="0DA52B64"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Each managing agent is expected, under normal circumstances, to operate its business within the guidelines. If a managing agent wishes to operate outside the guidelines in respect of a syndicate, it will need to discuss its position and obtain a dispensation in advance from Lloyd’s. </w:t>
      </w:r>
    </w:p>
    <w:p w14:paraId="147E529E" w14:textId="2009DEF8"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It is not intended that the guidelines should be blindly applied to every syndicate and on every line of business. Lloyd’s will consider requests for dispensations if a robust argument can be made to justify the dispensation. </w:t>
      </w:r>
    </w:p>
    <w:p w14:paraId="4D3443F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Each Franchise Guideline is stated below.  This is followed, where relevant, by guidance in respect of that guideline.</w:t>
      </w:r>
    </w:p>
    <w:p w14:paraId="691F29C9" w14:textId="2ACB9077" w:rsidR="00491E54" w:rsidRPr="00891991" w:rsidRDefault="00491E54" w:rsidP="00DA0557">
      <w:pPr>
        <w:pStyle w:val="ListParagraph"/>
        <w:numPr>
          <w:ilvl w:val="0"/>
          <w:numId w:val="19"/>
        </w:numPr>
        <w:tabs>
          <w:tab w:val="num" w:pos="85"/>
          <w:tab w:val="num" w:pos="369"/>
          <w:tab w:val="right" w:pos="5897"/>
          <w:tab w:val="right" w:pos="9582"/>
        </w:tabs>
        <w:spacing w:after="120" w:line="240" w:lineRule="atLeast"/>
        <w:rPr>
          <w:rFonts w:ascii="Arial" w:hAnsi="Arial" w:cs="Arial"/>
          <w:b/>
          <w:sz w:val="18"/>
          <w:szCs w:val="18"/>
          <w:lang w:val="en-US"/>
        </w:rPr>
      </w:pPr>
      <w:r w:rsidRPr="00891991">
        <w:rPr>
          <w:rFonts w:ascii="Arial" w:hAnsi="Arial" w:cs="Arial"/>
          <w:b/>
          <w:sz w:val="18"/>
          <w:szCs w:val="18"/>
          <w:lang w:val="en-US"/>
        </w:rPr>
        <w:t>Profitability by product line</w:t>
      </w:r>
    </w:p>
    <w:p w14:paraId="7F894DBB"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There should be a reasonable expectation of making a gross underwriting profit on each line of business every year. </w:t>
      </w:r>
    </w:p>
    <w:p w14:paraId="51780D85" w14:textId="17AD9517" w:rsidR="00491E54" w:rsidRPr="00891991" w:rsidRDefault="00491E54" w:rsidP="00DA0557">
      <w:pPr>
        <w:pStyle w:val="ListParagraph"/>
        <w:numPr>
          <w:ilvl w:val="0"/>
          <w:numId w:val="19"/>
        </w:numPr>
        <w:tabs>
          <w:tab w:val="num" w:pos="369"/>
          <w:tab w:val="right" w:pos="9582"/>
        </w:tabs>
        <w:spacing w:line="240" w:lineRule="atLeast"/>
        <w:rPr>
          <w:rFonts w:ascii="Arial" w:hAnsi="Arial" w:cs="Arial"/>
          <w:b/>
          <w:sz w:val="18"/>
          <w:szCs w:val="18"/>
          <w:lang w:val="en-US"/>
        </w:rPr>
      </w:pPr>
      <w:r w:rsidRPr="00891991">
        <w:rPr>
          <w:rFonts w:ascii="Arial" w:hAnsi="Arial" w:cs="Arial"/>
          <w:b/>
          <w:sz w:val="18"/>
          <w:szCs w:val="18"/>
          <w:lang w:val="en-US"/>
        </w:rPr>
        <w:t>Catastrophe and tail risk exposure</w:t>
      </w:r>
    </w:p>
    <w:p w14:paraId="05AB9AA3" w14:textId="77777777" w:rsidR="00491E54" w:rsidRPr="00491E54" w:rsidRDefault="00491E54" w:rsidP="00491E54">
      <w:pPr>
        <w:tabs>
          <w:tab w:val="right" w:pos="5897"/>
        </w:tabs>
        <w:spacing w:line="240" w:lineRule="atLeast"/>
        <w:ind w:left="-142"/>
        <w:rPr>
          <w:rFonts w:ascii="Arial" w:hAnsi="Arial" w:cs="Arial"/>
          <w:sz w:val="18"/>
          <w:szCs w:val="18"/>
          <w:u w:val="single"/>
          <w:lang w:val="en-US"/>
        </w:rPr>
      </w:pPr>
    </w:p>
    <w:p w14:paraId="2358013C" w14:textId="2F241E63" w:rsidR="00491E54" w:rsidRPr="008C671D" w:rsidRDefault="00491E54" w:rsidP="00DA0557">
      <w:pPr>
        <w:pStyle w:val="ListParagraph"/>
        <w:numPr>
          <w:ilvl w:val="0"/>
          <w:numId w:val="20"/>
        </w:numPr>
        <w:tabs>
          <w:tab w:val="num" w:pos="710"/>
          <w:tab w:val="num" w:pos="1525"/>
          <w:tab w:val="right" w:pos="5897"/>
          <w:tab w:val="right" w:pos="9582"/>
        </w:tabs>
        <w:spacing w:after="120" w:line="240" w:lineRule="atLeast"/>
        <w:rPr>
          <w:rFonts w:ascii="Arial" w:hAnsi="Arial" w:cs="Arial"/>
          <w:sz w:val="18"/>
          <w:szCs w:val="18"/>
        </w:rPr>
      </w:pPr>
      <w:r w:rsidRPr="008C671D">
        <w:rPr>
          <w:rFonts w:ascii="Arial" w:hAnsi="Arial" w:cs="Arial"/>
          <w:sz w:val="18"/>
          <w:szCs w:val="18"/>
        </w:rPr>
        <w:t xml:space="preserve">Catastrophe exposure should be analysed using tools or methods that are approved by Lloyd’s. </w:t>
      </w:r>
    </w:p>
    <w:p w14:paraId="0234201C" w14:textId="7ADBFE7E" w:rsidR="00491E54" w:rsidRPr="008C671D" w:rsidRDefault="00491E54" w:rsidP="00DA0557">
      <w:pPr>
        <w:pStyle w:val="ListParagraph"/>
        <w:numPr>
          <w:ilvl w:val="0"/>
          <w:numId w:val="20"/>
        </w:numPr>
        <w:tabs>
          <w:tab w:val="num" w:pos="0"/>
          <w:tab w:val="right" w:pos="5897"/>
          <w:tab w:val="right" w:pos="9582"/>
        </w:tabs>
        <w:spacing w:after="120" w:line="240" w:lineRule="atLeast"/>
        <w:rPr>
          <w:rFonts w:ascii="Arial" w:hAnsi="Arial" w:cs="Arial"/>
          <w:sz w:val="18"/>
          <w:szCs w:val="18"/>
        </w:rPr>
      </w:pPr>
      <w:r w:rsidRPr="008C671D">
        <w:rPr>
          <w:rFonts w:ascii="Arial" w:hAnsi="Arial" w:cs="Arial"/>
          <w:sz w:val="18"/>
          <w:szCs w:val="18"/>
        </w:rPr>
        <w:t>A Syndicate’s projected and in-force loss estimates for Realistic Disaster Scenarios, shall not exceed 80% of ECA plus</w:t>
      </w:r>
      <w:r w:rsidR="004F6E07" w:rsidRPr="008C671D">
        <w:rPr>
          <w:rFonts w:ascii="Arial" w:hAnsi="Arial" w:cs="Arial"/>
          <w:sz w:val="18"/>
          <w:szCs w:val="18"/>
        </w:rPr>
        <w:t xml:space="preserve"> </w:t>
      </w:r>
      <w:r w:rsidRPr="008C671D">
        <w:rPr>
          <w:rFonts w:ascii="Arial" w:hAnsi="Arial" w:cs="Arial"/>
          <w:sz w:val="18"/>
          <w:szCs w:val="18"/>
        </w:rPr>
        <w:t xml:space="preserve">Profit for Gross Losses and 30% of ECA plus Profit for Final Net Losses. </w:t>
      </w:r>
    </w:p>
    <w:p w14:paraId="24C08653" w14:textId="3A77AD4F" w:rsidR="00491E54" w:rsidRPr="008C671D" w:rsidRDefault="00491E54" w:rsidP="00DA0557">
      <w:pPr>
        <w:pStyle w:val="ListParagraph"/>
        <w:numPr>
          <w:ilvl w:val="0"/>
          <w:numId w:val="20"/>
        </w:numPr>
        <w:tabs>
          <w:tab w:val="num" w:pos="710"/>
          <w:tab w:val="num" w:pos="1525"/>
          <w:tab w:val="right" w:pos="5897"/>
          <w:tab w:val="right" w:pos="9582"/>
        </w:tabs>
        <w:spacing w:after="120" w:line="240" w:lineRule="atLeast"/>
        <w:rPr>
          <w:rFonts w:ascii="Arial" w:hAnsi="Arial" w:cs="Arial"/>
          <w:sz w:val="18"/>
          <w:szCs w:val="18"/>
        </w:rPr>
      </w:pPr>
      <w:r w:rsidRPr="008C671D">
        <w:rPr>
          <w:rFonts w:ascii="Arial" w:hAnsi="Arial" w:cs="Arial"/>
          <w:sz w:val="18"/>
          <w:szCs w:val="18"/>
        </w:rPr>
        <w:t>The 99.8th percentile (1-in-500) of the insurance claims shall not exceed 135% of the 99.5th percentile (1-in-200) of</w:t>
      </w:r>
      <w:r w:rsidR="00753315" w:rsidRPr="008C671D">
        <w:rPr>
          <w:rFonts w:ascii="Arial" w:hAnsi="Arial" w:cs="Arial"/>
          <w:sz w:val="18"/>
          <w:szCs w:val="18"/>
        </w:rPr>
        <w:t xml:space="preserve"> </w:t>
      </w:r>
      <w:r w:rsidRPr="008C671D">
        <w:rPr>
          <w:rFonts w:ascii="Arial" w:hAnsi="Arial" w:cs="Arial"/>
          <w:sz w:val="18"/>
          <w:szCs w:val="18"/>
        </w:rPr>
        <w:t>insurance claims. Both measures refer to the total modelled insurance claims net of reinsurance on an ultimate basis as reported to Lloyd’s in the LCR submission (Form 311). For syndicates which do not have an internal model for insurance claims and do not calculate the 99.8</w:t>
      </w:r>
      <w:r w:rsidRPr="008C671D">
        <w:rPr>
          <w:rFonts w:ascii="Arial" w:hAnsi="Arial" w:cs="Arial"/>
          <w:sz w:val="18"/>
          <w:szCs w:val="18"/>
          <w:vertAlign w:val="superscript"/>
        </w:rPr>
        <w:t>th</w:t>
      </w:r>
      <w:r w:rsidRPr="008C671D">
        <w:rPr>
          <w:rFonts w:ascii="Arial" w:hAnsi="Arial" w:cs="Arial"/>
          <w:sz w:val="18"/>
          <w:szCs w:val="18"/>
        </w:rPr>
        <w:t xml:space="preserve"> percentile, this does not apply. Instead, the 99.8</w:t>
      </w:r>
      <w:r w:rsidRPr="008C671D">
        <w:rPr>
          <w:rFonts w:ascii="Arial" w:hAnsi="Arial" w:cs="Arial"/>
          <w:sz w:val="18"/>
          <w:szCs w:val="18"/>
          <w:vertAlign w:val="superscript"/>
        </w:rPr>
        <w:t>th</w:t>
      </w:r>
      <w:r w:rsidRPr="008C671D">
        <w:rPr>
          <w:rFonts w:ascii="Arial" w:hAnsi="Arial" w:cs="Arial"/>
          <w:sz w:val="18"/>
          <w:szCs w:val="18"/>
        </w:rPr>
        <w:t xml:space="preserve"> percentile of Final Net LCM WWAP claims shall not exceed ECA plus Profit. Final Net LCM WWAP metrics will be calculated by Lloyd’s based on syndicates’ latest approved LCM Forecast submissions.</w:t>
      </w:r>
    </w:p>
    <w:p w14:paraId="08EDE1D2" w14:textId="77777777" w:rsidR="00491E54" w:rsidRPr="00491E54" w:rsidRDefault="00491E54" w:rsidP="00491E54">
      <w:pPr>
        <w:tabs>
          <w:tab w:val="right" w:pos="5897"/>
        </w:tabs>
        <w:spacing w:line="240" w:lineRule="atLeast"/>
        <w:rPr>
          <w:rFonts w:ascii="Arial" w:hAnsi="Arial" w:cs="Arial"/>
          <w:sz w:val="18"/>
          <w:szCs w:val="18"/>
        </w:rPr>
      </w:pPr>
    </w:p>
    <w:p w14:paraId="28FCDA3B"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‘Profit’ for these purposes shall be defined as ‘Profit/Loss for the period’ on an Ultimate basis in the approved Year of Account SBF (item 16 of SBF Form 100s).</w:t>
      </w:r>
    </w:p>
    <w:p w14:paraId="074CD1F8" w14:textId="77777777" w:rsidR="00491E54" w:rsidRPr="00491E54" w:rsidRDefault="00491E54" w:rsidP="00491E54">
      <w:pPr>
        <w:tabs>
          <w:tab w:val="right" w:pos="5897"/>
        </w:tabs>
        <w:spacing w:line="240" w:lineRule="atLeast"/>
        <w:rPr>
          <w:rFonts w:ascii="Arial" w:hAnsi="Arial" w:cs="Arial"/>
          <w:sz w:val="18"/>
          <w:szCs w:val="18"/>
        </w:rPr>
      </w:pPr>
    </w:p>
    <w:p w14:paraId="291FC3FA" w14:textId="1B191510" w:rsidR="00491E54" w:rsidRPr="00491E54" w:rsidRDefault="00491E54" w:rsidP="003D199F">
      <w:pPr>
        <w:keepNext/>
        <w:spacing w:after="240" w:line="280" w:lineRule="atLeast"/>
        <w:ind w:left="720"/>
        <w:rPr>
          <w:rFonts w:ascii="Arial" w:hAnsi="Arial" w:cs="Arial"/>
          <w:b/>
          <w:bCs/>
          <w:color w:val="000000"/>
          <w:sz w:val="18"/>
          <w:szCs w:val="18"/>
          <w:lang w:val="en-US" w:eastAsia="en-US"/>
        </w:rPr>
      </w:pPr>
      <w:r w:rsidRPr="00491E54">
        <w:rPr>
          <w:rFonts w:ascii="Arial" w:hAnsi="Arial" w:cs="Arial"/>
          <w:b/>
          <w:bCs/>
          <w:color w:val="000000"/>
          <w:sz w:val="18"/>
          <w:szCs w:val="18"/>
          <w:u w:val="single"/>
          <w:lang w:val="en-US" w:eastAsia="en-US"/>
        </w:rPr>
        <w:t>Guidance</w:t>
      </w:r>
    </w:p>
    <w:p w14:paraId="42AE2017"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In reviewing a syndicate’s management of gross and net catastrophe exposures and tail risk, attention will be paid not only to overall syndicate capital, but also to: </w:t>
      </w:r>
    </w:p>
    <w:p w14:paraId="2AE458FE" w14:textId="77777777" w:rsidR="00A75B20"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0A2362">
        <w:rPr>
          <w:rFonts w:ascii="Arial" w:hAnsi="Arial" w:cs="Arial"/>
          <w:sz w:val="18"/>
          <w:szCs w:val="18"/>
        </w:rPr>
        <w:t>The level of expected underlying profitability in the line of business absent major catastrophic events</w:t>
      </w:r>
    </w:p>
    <w:p w14:paraId="2628AE9C" w14:textId="42B851EC" w:rsidR="00491E54" w:rsidRPr="00A75B20"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A75B20">
        <w:rPr>
          <w:rFonts w:ascii="Arial" w:hAnsi="Arial" w:cs="Arial"/>
          <w:sz w:val="18"/>
          <w:szCs w:val="18"/>
        </w:rPr>
        <w:t>The level of expected profitability in the other lines of business written by the syndicate, and the degree of inheren</w:t>
      </w:r>
      <w:r w:rsidR="00A75B20">
        <w:rPr>
          <w:rFonts w:ascii="Arial" w:hAnsi="Arial" w:cs="Arial"/>
          <w:sz w:val="18"/>
          <w:szCs w:val="18"/>
        </w:rPr>
        <w:t xml:space="preserve">t </w:t>
      </w:r>
      <w:r w:rsidRPr="00A75B20">
        <w:rPr>
          <w:rFonts w:ascii="Arial" w:hAnsi="Arial" w:cs="Arial"/>
          <w:sz w:val="18"/>
          <w:szCs w:val="18"/>
        </w:rPr>
        <w:t>volatility in those other lines</w:t>
      </w:r>
    </w:p>
    <w:p w14:paraId="01BF656D" w14:textId="77777777" w:rsidR="00491E54" w:rsidRPr="000A2362"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0A2362">
        <w:rPr>
          <w:rFonts w:ascii="Arial" w:hAnsi="Arial" w:cs="Arial"/>
          <w:sz w:val="18"/>
          <w:szCs w:val="18"/>
        </w:rPr>
        <w:t>The quality, nature and effectiveness of the reinsurance protecting the gross exposures; in terms of the overall scale, types of product purchased, the legal and structural strength of the contracts involved, the financial strength and concentration levels of the reinsurance counterparties involved, and the quantity and quality of any supporting collateral arrangements</w:t>
      </w:r>
    </w:p>
    <w:p w14:paraId="26A2B667" w14:textId="77777777" w:rsidR="00491E54" w:rsidRPr="000A2362"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0A2362">
        <w:rPr>
          <w:rFonts w:ascii="Arial" w:hAnsi="Arial" w:cs="Arial"/>
          <w:sz w:val="18"/>
          <w:szCs w:val="18"/>
        </w:rPr>
        <w:t>The overall liquidity of the syndicate, and its ability to meet any expected regulatory funding requirements</w:t>
      </w:r>
    </w:p>
    <w:p w14:paraId="4B3C62EA" w14:textId="77777777" w:rsidR="00491E54" w:rsidRPr="000A2362"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0A2362">
        <w:rPr>
          <w:rFonts w:ascii="Arial" w:hAnsi="Arial" w:cs="Arial"/>
          <w:sz w:val="18"/>
          <w:szCs w:val="18"/>
        </w:rPr>
        <w:t>The assumptions used in modelling catastrophe exposures, and</w:t>
      </w:r>
    </w:p>
    <w:p w14:paraId="66AB7F26" w14:textId="77777777" w:rsidR="00491E54" w:rsidRPr="000A2362" w:rsidRDefault="00491E54" w:rsidP="00A75B20">
      <w:pPr>
        <w:pStyle w:val="ListParagraph"/>
        <w:numPr>
          <w:ilvl w:val="0"/>
          <w:numId w:val="18"/>
        </w:numPr>
        <w:tabs>
          <w:tab w:val="num" w:pos="426"/>
          <w:tab w:val="right" w:pos="9582"/>
        </w:tabs>
        <w:spacing w:line="240" w:lineRule="atLeast"/>
        <w:ind w:hanging="294"/>
        <w:rPr>
          <w:rFonts w:ascii="Arial" w:hAnsi="Arial" w:cs="Arial"/>
          <w:sz w:val="18"/>
          <w:szCs w:val="18"/>
        </w:rPr>
      </w:pPr>
      <w:r w:rsidRPr="000A2362">
        <w:rPr>
          <w:rFonts w:ascii="Arial" w:hAnsi="Arial" w:cs="Arial"/>
          <w:sz w:val="18"/>
          <w:szCs w:val="18"/>
        </w:rPr>
        <w:t>The managing agent’s capability and competence</w:t>
      </w:r>
    </w:p>
    <w:p w14:paraId="5C39D455" w14:textId="77777777" w:rsidR="00491E54" w:rsidRPr="00491E54" w:rsidRDefault="00491E54" w:rsidP="00491E54">
      <w:pPr>
        <w:spacing w:line="280" w:lineRule="atLeast"/>
        <w:ind w:left="425"/>
        <w:rPr>
          <w:rFonts w:ascii="Arial" w:hAnsi="Arial" w:cs="Arial"/>
          <w:sz w:val="18"/>
          <w:szCs w:val="18"/>
        </w:rPr>
      </w:pPr>
    </w:p>
    <w:p w14:paraId="3193A09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The purpose of this guideline is to ensure that the capital of any syndicate (and ultimately the Central Fund) should not be threatened to an unreasonable or unexpected extent by catastrophe losses. </w:t>
      </w:r>
    </w:p>
    <w:p w14:paraId="07838C6F" w14:textId="47BC311C" w:rsidR="00491E54" w:rsidRPr="00891991" w:rsidRDefault="00491E54" w:rsidP="00DA0557">
      <w:pPr>
        <w:pStyle w:val="ListParagraph"/>
        <w:numPr>
          <w:ilvl w:val="0"/>
          <w:numId w:val="19"/>
        </w:numPr>
        <w:tabs>
          <w:tab w:val="num" w:pos="369"/>
          <w:tab w:val="right" w:pos="9582"/>
        </w:tabs>
        <w:spacing w:line="240" w:lineRule="atLeast"/>
        <w:rPr>
          <w:rFonts w:ascii="Arial" w:hAnsi="Arial" w:cs="Arial"/>
          <w:b/>
          <w:sz w:val="18"/>
          <w:szCs w:val="18"/>
          <w:lang w:val="en-US"/>
        </w:rPr>
      </w:pPr>
      <w:r w:rsidRPr="00891991">
        <w:rPr>
          <w:rFonts w:ascii="Arial" w:hAnsi="Arial" w:cs="Arial"/>
          <w:b/>
          <w:sz w:val="18"/>
          <w:szCs w:val="18"/>
          <w:lang w:val="en-US"/>
        </w:rPr>
        <w:lastRenderedPageBreak/>
        <w:t xml:space="preserve">Gross and net line size </w:t>
      </w:r>
    </w:p>
    <w:p w14:paraId="5CAF22D0" w14:textId="77777777" w:rsidR="00491E54" w:rsidRPr="00491E54" w:rsidRDefault="00491E54" w:rsidP="00491E54">
      <w:pPr>
        <w:tabs>
          <w:tab w:val="right" w:pos="5897"/>
        </w:tabs>
        <w:spacing w:line="240" w:lineRule="atLeast"/>
        <w:ind w:left="-142"/>
        <w:rPr>
          <w:rFonts w:ascii="Arial" w:hAnsi="Arial" w:cs="Arial"/>
          <w:sz w:val="18"/>
          <w:szCs w:val="18"/>
          <w:u w:val="single"/>
          <w:lang w:val="en-US"/>
        </w:rPr>
      </w:pPr>
    </w:p>
    <w:p w14:paraId="45D77102" w14:textId="568F71E5" w:rsidR="00491E54" w:rsidRPr="00491E54" w:rsidRDefault="008329C8" w:rsidP="00491E54">
      <w:pPr>
        <w:tabs>
          <w:tab w:val="right" w:pos="5897"/>
        </w:tabs>
        <w:spacing w:after="240" w:line="240" w:lineRule="atLeast"/>
        <w:rPr>
          <w:rFonts w:ascii="Arial" w:hAnsi="Arial" w:cs="Arial"/>
          <w:sz w:val="18"/>
          <w:szCs w:val="18"/>
        </w:rPr>
      </w:pPr>
      <w:r>
        <w:rPr>
          <w:rFonts w:ascii="Arial" w:hAnsi="Arial" w:cs="Arial"/>
          <w:sz w:val="18"/>
          <w:szCs w:val="18"/>
        </w:rPr>
        <w:t xml:space="preserve">No syndicate should write a </w:t>
      </w:r>
      <w:r w:rsidR="00491E54" w:rsidRPr="00491E54">
        <w:rPr>
          <w:rFonts w:ascii="Arial" w:hAnsi="Arial" w:cs="Arial"/>
          <w:sz w:val="18"/>
          <w:szCs w:val="18"/>
        </w:rPr>
        <w:t xml:space="preserve"> gross line on an individual risk i</w:t>
      </w:r>
      <w:r w:rsidR="001F584D">
        <w:rPr>
          <w:rFonts w:ascii="Arial" w:hAnsi="Arial" w:cs="Arial"/>
          <w:sz w:val="18"/>
          <w:szCs w:val="18"/>
        </w:rPr>
        <w:t>n excess of</w:t>
      </w:r>
      <w:r w:rsidR="00491E54" w:rsidRPr="00491E54">
        <w:rPr>
          <w:rFonts w:ascii="Arial" w:hAnsi="Arial" w:cs="Arial"/>
          <w:sz w:val="18"/>
          <w:szCs w:val="18"/>
        </w:rPr>
        <w:t xml:space="preserve"> 25% of </w:t>
      </w:r>
      <w:r w:rsidR="001F584D">
        <w:rPr>
          <w:rFonts w:ascii="Arial" w:hAnsi="Arial" w:cs="Arial"/>
          <w:sz w:val="18"/>
          <w:szCs w:val="18"/>
        </w:rPr>
        <w:t xml:space="preserve">syndicate </w:t>
      </w:r>
      <w:r w:rsidR="00491E54" w:rsidRPr="00491E54">
        <w:rPr>
          <w:rFonts w:ascii="Arial" w:hAnsi="Arial" w:cs="Arial"/>
          <w:sz w:val="18"/>
          <w:szCs w:val="18"/>
        </w:rPr>
        <w:t>GWP</w:t>
      </w:r>
      <w:r w:rsidR="001F584D">
        <w:rPr>
          <w:rFonts w:ascii="Arial" w:hAnsi="Arial" w:cs="Arial"/>
          <w:sz w:val="18"/>
          <w:szCs w:val="18"/>
        </w:rPr>
        <w:t xml:space="preserve"> </w:t>
      </w:r>
      <w:r w:rsidR="4AC1B868" w:rsidRPr="133CC847">
        <w:rPr>
          <w:rFonts w:ascii="Arial" w:hAnsi="Arial" w:cs="Arial"/>
          <w:sz w:val="18"/>
          <w:szCs w:val="18"/>
        </w:rPr>
        <w:t xml:space="preserve">or £200m (whichever is the smaller) </w:t>
      </w:r>
      <w:r w:rsidR="001F584D">
        <w:rPr>
          <w:rFonts w:ascii="Arial" w:hAnsi="Arial" w:cs="Arial"/>
          <w:sz w:val="18"/>
          <w:szCs w:val="18"/>
        </w:rPr>
        <w:t xml:space="preserve">without prior approval </w:t>
      </w:r>
      <w:r w:rsidR="00990B9C">
        <w:rPr>
          <w:rFonts w:ascii="Arial" w:hAnsi="Arial" w:cs="Arial"/>
          <w:sz w:val="18"/>
          <w:szCs w:val="18"/>
        </w:rPr>
        <w:t>from Lloyd’s</w:t>
      </w:r>
      <w:r w:rsidR="00491E54" w:rsidRPr="00491E54">
        <w:rPr>
          <w:rFonts w:ascii="Arial" w:hAnsi="Arial" w:cs="Arial"/>
          <w:sz w:val="18"/>
          <w:szCs w:val="18"/>
        </w:rPr>
        <w:t>. The maximum net line size that a syndicate should have on an individual risk cannot exceed 30% of ECA plus profit, where profit is defined as per 2 above</w:t>
      </w:r>
      <w:r w:rsidR="007628FA">
        <w:rPr>
          <w:rFonts w:ascii="Arial" w:hAnsi="Arial" w:cs="Arial"/>
          <w:sz w:val="18"/>
          <w:szCs w:val="18"/>
        </w:rPr>
        <w:t>, without prior approval from Lloyd’s</w:t>
      </w:r>
      <w:r w:rsidR="00491E54" w:rsidRPr="00491E54">
        <w:rPr>
          <w:rFonts w:ascii="Arial" w:hAnsi="Arial" w:cs="Arial"/>
          <w:sz w:val="18"/>
          <w:szCs w:val="18"/>
        </w:rPr>
        <w:t xml:space="preserve">. </w:t>
      </w:r>
    </w:p>
    <w:p w14:paraId="751745B2" w14:textId="7C9B03ED" w:rsidR="00491E54" w:rsidRPr="00491E54" w:rsidRDefault="00491E54" w:rsidP="003D199F">
      <w:pPr>
        <w:spacing w:after="240" w:line="280" w:lineRule="atLeast"/>
        <w:ind w:left="720"/>
        <w:rPr>
          <w:rFonts w:ascii="Arial" w:hAnsi="Arial" w:cs="Arial"/>
          <w:b/>
          <w:bCs/>
          <w:color w:val="000000"/>
          <w:sz w:val="18"/>
          <w:szCs w:val="18"/>
          <w:lang w:val="en-US" w:eastAsia="en-US"/>
        </w:rPr>
      </w:pPr>
      <w:r w:rsidRPr="00491E54">
        <w:rPr>
          <w:rFonts w:ascii="Arial" w:hAnsi="Arial" w:cs="Arial"/>
          <w:b/>
          <w:bCs/>
          <w:color w:val="000000"/>
          <w:sz w:val="18"/>
          <w:szCs w:val="18"/>
          <w:u w:val="single"/>
          <w:lang w:val="en-US" w:eastAsia="en-US"/>
        </w:rPr>
        <w:t>Guidance</w:t>
      </w:r>
    </w:p>
    <w:p w14:paraId="18D9B40E"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 xml:space="preserve">In reviewing a syndicate’s gross line sizes on individual risks for any class of business, attention will be paid not only to overall syndicate GWP, but also to: </w:t>
      </w:r>
    </w:p>
    <w:p w14:paraId="72DD3042"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The GWP allocated by the syndicate to the line of business</w:t>
      </w:r>
    </w:p>
    <w:p w14:paraId="2A915681"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The level of capital</w:t>
      </w:r>
    </w:p>
    <w:p w14:paraId="24B05687"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The risk characteristics of the line of business, and the level of expected profitability in that line</w:t>
      </w:r>
    </w:p>
    <w:p w14:paraId="1BF42D58"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The level of expected profitability in the other lines of business written by the syndicate, and the degree of inherent volatility in those other lines</w:t>
      </w:r>
    </w:p>
    <w:p w14:paraId="017C5A92"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MT" w:hAnsi="ArialMT"/>
          <w:color w:val="000000"/>
          <w:sz w:val="18"/>
          <w:szCs w:val="18"/>
        </w:rPr>
        <w:t>The quality, nature and effectiveness of the reinsurance protecting the gross line size (including the overall scale, types of product purchased, the legal and structural strength of the contracts involved, the financial strength and concentration levels of the reinsurance counterparties involved, and the quantity and quality of any supporting collateral arrangements)</w:t>
      </w:r>
    </w:p>
    <w:p w14:paraId="1AAB3F19"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 xml:space="preserve">Line size utilisation, and </w:t>
      </w:r>
    </w:p>
    <w:p w14:paraId="36A0746E" w14:textId="77777777" w:rsidR="00491E54" w:rsidRPr="002D331C" w:rsidRDefault="00491E54" w:rsidP="00A75B20">
      <w:pPr>
        <w:pStyle w:val="ListParagraph"/>
        <w:numPr>
          <w:ilvl w:val="0"/>
          <w:numId w:val="21"/>
        </w:numPr>
        <w:tabs>
          <w:tab w:val="num" w:pos="426"/>
          <w:tab w:val="right" w:pos="9582"/>
        </w:tabs>
        <w:spacing w:line="240" w:lineRule="atLeast"/>
        <w:rPr>
          <w:rFonts w:ascii="Arial" w:hAnsi="Arial" w:cs="Arial"/>
          <w:sz w:val="18"/>
          <w:szCs w:val="18"/>
        </w:rPr>
      </w:pPr>
      <w:r w:rsidRPr="002D331C">
        <w:rPr>
          <w:rFonts w:ascii="Arial" w:hAnsi="Arial" w:cs="Arial"/>
          <w:sz w:val="18"/>
          <w:szCs w:val="18"/>
        </w:rPr>
        <w:t>The managing agent’s capability and competence</w:t>
      </w:r>
    </w:p>
    <w:p w14:paraId="449F76D7" w14:textId="77777777" w:rsidR="00491E54" w:rsidRPr="00491E54" w:rsidRDefault="00491E54" w:rsidP="00491E54">
      <w:pPr>
        <w:tabs>
          <w:tab w:val="right" w:pos="5897"/>
        </w:tabs>
        <w:spacing w:line="240" w:lineRule="atLeast"/>
        <w:rPr>
          <w:rFonts w:ascii="Arial" w:hAnsi="Arial" w:cs="Arial"/>
          <w:sz w:val="18"/>
          <w:szCs w:val="18"/>
        </w:rPr>
      </w:pPr>
    </w:p>
    <w:p w14:paraId="349EF437" w14:textId="77777777" w:rsidR="00491E54" w:rsidRPr="00491E54" w:rsidRDefault="00491E54" w:rsidP="00491E54">
      <w:pPr>
        <w:keepNext/>
        <w:tabs>
          <w:tab w:val="right" w:pos="5897"/>
        </w:tabs>
        <w:spacing w:line="240" w:lineRule="atLeast"/>
        <w:rPr>
          <w:rFonts w:ascii="Arial" w:hAnsi="Arial"/>
          <w:sz w:val="18"/>
        </w:rPr>
      </w:pPr>
      <w:r w:rsidRPr="00491E54">
        <w:rPr>
          <w:rFonts w:ascii="Arial" w:hAnsi="Arial"/>
          <w:sz w:val="18"/>
        </w:rPr>
        <w:t>When reviewing the net line size in relation to the level of capital, the following aspects will be taken into account:</w:t>
      </w:r>
    </w:p>
    <w:p w14:paraId="510BC137" w14:textId="77777777" w:rsidR="00491E54" w:rsidRPr="00491E54" w:rsidRDefault="00491E54" w:rsidP="00491E54">
      <w:pPr>
        <w:keepNext/>
        <w:tabs>
          <w:tab w:val="right" w:pos="5897"/>
        </w:tabs>
        <w:spacing w:line="240" w:lineRule="atLeast"/>
        <w:rPr>
          <w:rFonts w:ascii="Arial" w:hAnsi="Arial"/>
          <w:sz w:val="18"/>
        </w:rPr>
      </w:pPr>
    </w:p>
    <w:p w14:paraId="4B002FA6" w14:textId="77777777" w:rsidR="00491E54" w:rsidRPr="002260F0" w:rsidRDefault="00491E54" w:rsidP="00DA0557">
      <w:pPr>
        <w:pStyle w:val="ListParagraph"/>
        <w:numPr>
          <w:ilvl w:val="0"/>
          <w:numId w:val="22"/>
        </w:numPr>
        <w:tabs>
          <w:tab w:val="num" w:pos="426"/>
          <w:tab w:val="num" w:pos="596"/>
          <w:tab w:val="right" w:pos="9582"/>
        </w:tabs>
        <w:spacing w:line="240" w:lineRule="atLeast"/>
        <w:rPr>
          <w:rFonts w:ascii="Arial" w:hAnsi="Arial" w:cs="Arial"/>
          <w:sz w:val="18"/>
          <w:szCs w:val="18"/>
        </w:rPr>
      </w:pPr>
      <w:r w:rsidRPr="002260F0">
        <w:rPr>
          <w:rFonts w:ascii="Arial" w:hAnsi="Arial" w:cs="Arial"/>
          <w:sz w:val="18"/>
          <w:szCs w:val="18"/>
        </w:rPr>
        <w:t xml:space="preserve">Line size utilisation and the number of risks exceeding the threshold </w:t>
      </w:r>
    </w:p>
    <w:p w14:paraId="6130D6E2" w14:textId="77777777" w:rsidR="00491E54" w:rsidRPr="002260F0" w:rsidRDefault="00491E54" w:rsidP="00DA0557">
      <w:pPr>
        <w:pStyle w:val="ListParagraph"/>
        <w:numPr>
          <w:ilvl w:val="0"/>
          <w:numId w:val="22"/>
        </w:numPr>
        <w:tabs>
          <w:tab w:val="num" w:pos="426"/>
          <w:tab w:val="num" w:pos="596"/>
          <w:tab w:val="right" w:pos="9582"/>
        </w:tabs>
        <w:spacing w:line="240" w:lineRule="atLeast"/>
        <w:rPr>
          <w:rFonts w:ascii="Arial" w:hAnsi="Arial" w:cs="Arial"/>
          <w:sz w:val="18"/>
          <w:szCs w:val="18"/>
        </w:rPr>
      </w:pPr>
      <w:r w:rsidRPr="002260F0">
        <w:rPr>
          <w:rFonts w:ascii="Arial" w:hAnsi="Arial" w:cs="Arial"/>
          <w:sz w:val="18"/>
          <w:szCs w:val="18"/>
        </w:rPr>
        <w:t xml:space="preserve">The risk of accumulation between individual risks </w:t>
      </w:r>
    </w:p>
    <w:p w14:paraId="29B0854D" w14:textId="77777777" w:rsidR="00491E54" w:rsidRPr="002260F0" w:rsidRDefault="00491E54" w:rsidP="00DA0557">
      <w:pPr>
        <w:pStyle w:val="ListParagraph"/>
        <w:numPr>
          <w:ilvl w:val="0"/>
          <w:numId w:val="22"/>
        </w:numPr>
        <w:tabs>
          <w:tab w:val="num" w:pos="426"/>
          <w:tab w:val="num" w:pos="596"/>
          <w:tab w:val="right" w:pos="9582"/>
        </w:tabs>
        <w:spacing w:line="240" w:lineRule="atLeast"/>
        <w:rPr>
          <w:rFonts w:ascii="Arial" w:hAnsi="Arial" w:cs="Arial"/>
          <w:sz w:val="18"/>
          <w:szCs w:val="18"/>
        </w:rPr>
      </w:pPr>
      <w:r w:rsidRPr="002260F0">
        <w:rPr>
          <w:rFonts w:ascii="Arial" w:hAnsi="Arial" w:cs="Arial"/>
          <w:sz w:val="18"/>
          <w:szCs w:val="18"/>
        </w:rPr>
        <w:t>The maturity of the syndicate and future growth plans, and</w:t>
      </w:r>
    </w:p>
    <w:p w14:paraId="73F6B5B5" w14:textId="77777777" w:rsidR="00491E54" w:rsidRPr="002260F0" w:rsidRDefault="00491E54" w:rsidP="00DA0557">
      <w:pPr>
        <w:pStyle w:val="ListParagraph"/>
        <w:numPr>
          <w:ilvl w:val="0"/>
          <w:numId w:val="22"/>
        </w:numPr>
        <w:tabs>
          <w:tab w:val="num" w:pos="426"/>
          <w:tab w:val="num" w:pos="596"/>
          <w:tab w:val="right" w:pos="9582"/>
        </w:tabs>
        <w:spacing w:line="240" w:lineRule="atLeast"/>
        <w:rPr>
          <w:rFonts w:ascii="Arial" w:hAnsi="Arial" w:cs="Arial"/>
          <w:sz w:val="18"/>
          <w:szCs w:val="18"/>
        </w:rPr>
      </w:pPr>
      <w:r w:rsidRPr="002260F0">
        <w:rPr>
          <w:rFonts w:ascii="Arial" w:hAnsi="Arial" w:cs="Arial"/>
          <w:sz w:val="18"/>
          <w:szCs w:val="18"/>
        </w:rPr>
        <w:t>The member structure of the syndicate.</w:t>
      </w:r>
    </w:p>
    <w:p w14:paraId="5AA5DFAE" w14:textId="77777777" w:rsidR="00491E54" w:rsidRPr="00491E54" w:rsidRDefault="00491E54" w:rsidP="00491E54">
      <w:pPr>
        <w:tabs>
          <w:tab w:val="right" w:pos="5897"/>
        </w:tabs>
        <w:spacing w:line="240" w:lineRule="atLeast"/>
        <w:rPr>
          <w:rFonts w:ascii="Arial" w:hAnsi="Arial" w:cs="Arial"/>
          <w:sz w:val="18"/>
          <w:szCs w:val="18"/>
        </w:rPr>
      </w:pPr>
    </w:p>
    <w:p w14:paraId="28830B07"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The intent of the guidelines is that individual risks should not be allowed to threaten the viability of the syndicate, putting members and the Central Fund at risk.</w:t>
      </w:r>
    </w:p>
    <w:p w14:paraId="464AC5D6"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 xml:space="preserve">For the sake of clarity it is emphasised that it is not the intention to apply guideline percentages to the premium or ECA and profit allocated to the individual line of business, but to the GWP or ECA and profit of the syndicate as a whole. </w:t>
      </w:r>
    </w:p>
    <w:p w14:paraId="3D9488B8" w14:textId="58BBDA3F" w:rsidR="00491E54" w:rsidRPr="00A058FD" w:rsidRDefault="00491E54" w:rsidP="00DA0557">
      <w:pPr>
        <w:pStyle w:val="ListParagraph"/>
        <w:keepNext/>
        <w:numPr>
          <w:ilvl w:val="0"/>
          <w:numId w:val="19"/>
        </w:numPr>
        <w:tabs>
          <w:tab w:val="num" w:pos="369"/>
          <w:tab w:val="right" w:pos="9582"/>
        </w:tabs>
        <w:spacing w:line="240" w:lineRule="atLeast"/>
        <w:rPr>
          <w:rFonts w:ascii="Arial" w:hAnsi="Arial" w:cs="Arial"/>
          <w:b/>
          <w:sz w:val="18"/>
          <w:szCs w:val="18"/>
          <w:lang w:val="en-US"/>
        </w:rPr>
      </w:pPr>
      <w:r w:rsidRPr="00A058FD">
        <w:rPr>
          <w:rFonts w:ascii="Arial" w:hAnsi="Arial" w:cs="Arial"/>
          <w:b/>
          <w:sz w:val="18"/>
          <w:szCs w:val="18"/>
          <w:lang w:val="en-US"/>
        </w:rPr>
        <w:t>Casualty Reserve Deterioration</w:t>
      </w:r>
    </w:p>
    <w:p w14:paraId="064DDCDB" w14:textId="77777777" w:rsidR="00491E54" w:rsidRPr="00491E54" w:rsidRDefault="00491E54" w:rsidP="00491E54">
      <w:pPr>
        <w:keepNext/>
        <w:tabs>
          <w:tab w:val="right" w:pos="9582"/>
        </w:tabs>
        <w:spacing w:line="240" w:lineRule="atLeast"/>
        <w:ind w:left="85"/>
        <w:rPr>
          <w:rFonts w:ascii="Arial" w:hAnsi="Arial" w:cs="Arial"/>
          <w:b/>
          <w:sz w:val="18"/>
          <w:szCs w:val="18"/>
          <w:lang w:val="en-US"/>
        </w:rPr>
      </w:pPr>
    </w:p>
    <w:p w14:paraId="741E6126"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A stress of a 45% increase in the net of reinsurance reserves for all casualty classes of business should not exceed 100% of ECA for each syndicate.</w:t>
      </w:r>
    </w:p>
    <w:p w14:paraId="4C81D35C" w14:textId="61044697" w:rsidR="00491E54" w:rsidRPr="00491E54" w:rsidRDefault="00491E54" w:rsidP="00A058FD">
      <w:pPr>
        <w:spacing w:after="240" w:line="280" w:lineRule="atLeast"/>
        <w:ind w:left="720"/>
        <w:rPr>
          <w:rFonts w:ascii="Arial" w:hAnsi="Arial" w:cs="Arial"/>
          <w:b/>
          <w:bCs/>
          <w:color w:val="000000"/>
          <w:sz w:val="18"/>
          <w:szCs w:val="18"/>
          <w:lang w:val="en-US" w:eastAsia="en-US"/>
        </w:rPr>
      </w:pPr>
      <w:r w:rsidRPr="00491E54">
        <w:rPr>
          <w:rFonts w:ascii="Arial" w:hAnsi="Arial" w:cs="Arial"/>
          <w:b/>
          <w:bCs/>
          <w:color w:val="000000"/>
          <w:sz w:val="18"/>
          <w:szCs w:val="18"/>
          <w:u w:val="single"/>
          <w:lang w:val="en-US" w:eastAsia="en-US"/>
        </w:rPr>
        <w:t>Guidance</w:t>
      </w:r>
    </w:p>
    <w:p w14:paraId="2B964145"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Casualty classes of business are defined as the following three high level classes of business: Casualty FinPro, Casualty Other, Casualty Treaty. Risk code mapping can be found on Lloyds.com.</w:t>
      </w:r>
    </w:p>
    <w:p w14:paraId="3E52CD88"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Net of reinsurance reserves for this purpose shall be defined as follows: ‘Total modelled insurance claims (including ALAE) for all underlying pure years in aggregate net of reinsurance using the balance sheet date as per latest submitted capital model. The basis should correspond to ‘Mean Net Claims’ as per LCR form 510.</w:t>
      </w:r>
    </w:p>
    <w:p w14:paraId="09A3AF9A"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Syndicates which do not submit an LCR will not be required to run this test.</w:t>
      </w:r>
    </w:p>
    <w:p w14:paraId="67946E93"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If a managing agent has identified that a syndicate may breach the guideline or if it wishes to obtain a dispensation, the managing agent will be expected to address the following points:</w:t>
      </w:r>
    </w:p>
    <w:p w14:paraId="4462F01E" w14:textId="77777777" w:rsidR="00491E54" w:rsidRPr="00B61D51" w:rsidRDefault="00491E54" w:rsidP="00A75B20">
      <w:pPr>
        <w:pStyle w:val="ListParagraph"/>
        <w:numPr>
          <w:ilvl w:val="0"/>
          <w:numId w:val="23"/>
        </w:numPr>
        <w:tabs>
          <w:tab w:val="num" w:pos="426"/>
          <w:tab w:val="right" w:pos="9582"/>
        </w:tabs>
        <w:spacing w:line="240" w:lineRule="atLeast"/>
        <w:rPr>
          <w:rFonts w:ascii="Arial" w:hAnsi="Arial" w:cs="Arial"/>
          <w:sz w:val="18"/>
          <w:szCs w:val="18"/>
        </w:rPr>
      </w:pPr>
      <w:r w:rsidRPr="00B61D51">
        <w:rPr>
          <w:rFonts w:ascii="Arial" w:hAnsi="Arial" w:cs="Arial"/>
          <w:sz w:val="18"/>
          <w:szCs w:val="18"/>
        </w:rPr>
        <w:t>The reasons for breach or the requirement for the dispensation, including due to new transactions, risk mix changes or other factors leading to a change in reserve mix.</w:t>
      </w:r>
    </w:p>
    <w:p w14:paraId="22A28C43" w14:textId="77777777" w:rsidR="00491E54" w:rsidRPr="00B61D51" w:rsidRDefault="00491E54" w:rsidP="00A75B20">
      <w:pPr>
        <w:pStyle w:val="ListParagraph"/>
        <w:numPr>
          <w:ilvl w:val="0"/>
          <w:numId w:val="23"/>
        </w:numPr>
        <w:tabs>
          <w:tab w:val="num" w:pos="426"/>
          <w:tab w:val="right" w:pos="9582"/>
        </w:tabs>
        <w:spacing w:line="240" w:lineRule="atLeast"/>
        <w:rPr>
          <w:rFonts w:ascii="Arial" w:hAnsi="Arial" w:cs="Arial"/>
          <w:sz w:val="18"/>
          <w:szCs w:val="18"/>
        </w:rPr>
      </w:pPr>
      <w:r w:rsidRPr="00B61D51">
        <w:rPr>
          <w:rFonts w:ascii="Arial" w:hAnsi="Arial" w:cs="Arial"/>
          <w:sz w:val="18"/>
          <w:szCs w:val="18"/>
        </w:rPr>
        <w:lastRenderedPageBreak/>
        <w:t>The extent of the effect of the breach or dispensation on the syndicate's capital requirements</w:t>
      </w:r>
    </w:p>
    <w:p w14:paraId="50EBA641" w14:textId="77777777" w:rsidR="00491E54" w:rsidRPr="00B61D51" w:rsidRDefault="00491E54" w:rsidP="00A75B20">
      <w:pPr>
        <w:pStyle w:val="ListParagraph"/>
        <w:numPr>
          <w:ilvl w:val="0"/>
          <w:numId w:val="23"/>
        </w:numPr>
        <w:tabs>
          <w:tab w:val="num" w:pos="426"/>
          <w:tab w:val="right" w:pos="9582"/>
        </w:tabs>
        <w:spacing w:line="240" w:lineRule="atLeast"/>
        <w:rPr>
          <w:rFonts w:ascii="Arial" w:hAnsi="Arial" w:cs="Arial"/>
          <w:sz w:val="18"/>
          <w:szCs w:val="18"/>
        </w:rPr>
      </w:pPr>
      <w:r w:rsidRPr="00B61D51">
        <w:rPr>
          <w:rFonts w:ascii="Arial" w:hAnsi="Arial" w:cs="Arial"/>
          <w:sz w:val="18"/>
          <w:szCs w:val="18"/>
        </w:rPr>
        <w:t>Any other relevant Franchise Guideline dispensations</w:t>
      </w:r>
    </w:p>
    <w:p w14:paraId="7B55E320" w14:textId="77777777" w:rsidR="00491E54" w:rsidRPr="00B61D51" w:rsidRDefault="00491E54" w:rsidP="00A75B20">
      <w:pPr>
        <w:pStyle w:val="ListParagraph"/>
        <w:numPr>
          <w:ilvl w:val="0"/>
          <w:numId w:val="23"/>
        </w:numPr>
        <w:tabs>
          <w:tab w:val="num" w:pos="426"/>
          <w:tab w:val="right" w:pos="9582"/>
        </w:tabs>
        <w:spacing w:line="240" w:lineRule="atLeast"/>
        <w:rPr>
          <w:rFonts w:ascii="Arial" w:hAnsi="Arial" w:cs="Arial"/>
          <w:sz w:val="18"/>
          <w:szCs w:val="18"/>
        </w:rPr>
      </w:pPr>
      <w:r w:rsidRPr="00B61D51">
        <w:rPr>
          <w:rFonts w:ascii="Arial" w:hAnsi="Arial" w:cs="Arial"/>
          <w:sz w:val="18"/>
          <w:szCs w:val="18"/>
        </w:rPr>
        <w:t>Whether the SCR needs to be resubmitted</w:t>
      </w:r>
    </w:p>
    <w:p w14:paraId="28F748D3" w14:textId="77777777" w:rsidR="00491E54" w:rsidRPr="00491E54" w:rsidRDefault="00491E54" w:rsidP="00491E54">
      <w:pPr>
        <w:tabs>
          <w:tab w:val="num" w:pos="596"/>
          <w:tab w:val="right" w:pos="9582"/>
        </w:tabs>
        <w:spacing w:line="240" w:lineRule="atLeast"/>
        <w:ind w:left="142"/>
        <w:rPr>
          <w:rFonts w:ascii="Arial" w:hAnsi="Arial" w:cs="Arial"/>
          <w:sz w:val="18"/>
          <w:szCs w:val="18"/>
        </w:rPr>
      </w:pPr>
    </w:p>
    <w:p w14:paraId="31B1866B"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Where a managing agent fails to notify that it may breach the guideline and subsequently the LCR or other core market returns show that the syndicate has breached the guideline, Lloyd’s will, in addition to the above considerations, also wish to review the effectiveness of management controls.</w:t>
      </w:r>
    </w:p>
    <w:p w14:paraId="027E8074" w14:textId="2C87A089" w:rsidR="00491E54" w:rsidRPr="00DA0557" w:rsidRDefault="00491E54" w:rsidP="00DA0557">
      <w:pPr>
        <w:pStyle w:val="ListParagraph"/>
        <w:keepNext/>
        <w:numPr>
          <w:ilvl w:val="0"/>
          <w:numId w:val="19"/>
        </w:numPr>
        <w:tabs>
          <w:tab w:val="num" w:pos="369"/>
          <w:tab w:val="right" w:pos="9582"/>
        </w:tabs>
        <w:spacing w:line="240" w:lineRule="atLeast"/>
        <w:rPr>
          <w:rFonts w:ascii="Arial" w:hAnsi="Arial" w:cs="Arial"/>
          <w:b/>
          <w:sz w:val="18"/>
          <w:szCs w:val="18"/>
          <w:lang w:val="en-US"/>
        </w:rPr>
      </w:pPr>
      <w:r w:rsidRPr="00DA0557">
        <w:rPr>
          <w:rFonts w:ascii="Arial" w:hAnsi="Arial" w:cs="Arial"/>
          <w:b/>
          <w:sz w:val="18"/>
          <w:szCs w:val="18"/>
          <w:lang w:val="en-US"/>
        </w:rPr>
        <w:t>Multi-year policies</w:t>
      </w:r>
    </w:p>
    <w:p w14:paraId="4A12A3DA" w14:textId="77777777" w:rsidR="00491E54" w:rsidRPr="00491E54" w:rsidRDefault="00491E54" w:rsidP="00491E54">
      <w:pPr>
        <w:keepNext/>
        <w:tabs>
          <w:tab w:val="right" w:pos="5897"/>
        </w:tabs>
        <w:spacing w:line="240" w:lineRule="atLeast"/>
        <w:ind w:left="-142"/>
        <w:rPr>
          <w:rFonts w:ascii="Arial" w:hAnsi="Arial" w:cs="Arial"/>
          <w:sz w:val="18"/>
          <w:szCs w:val="18"/>
          <w:u w:val="single"/>
          <w:lang w:val="en-US"/>
        </w:rPr>
      </w:pPr>
    </w:p>
    <w:p w14:paraId="4824C780" w14:textId="77777777" w:rsidR="00491E54" w:rsidRPr="00DA0557" w:rsidRDefault="00491E54" w:rsidP="00DA0557">
      <w:pPr>
        <w:pStyle w:val="ListParagraph"/>
        <w:numPr>
          <w:ilvl w:val="0"/>
          <w:numId w:val="24"/>
        </w:numPr>
        <w:tabs>
          <w:tab w:val="num" w:pos="710"/>
          <w:tab w:val="num" w:pos="1525"/>
          <w:tab w:val="right" w:pos="5897"/>
          <w:tab w:val="right" w:pos="9582"/>
        </w:tabs>
        <w:spacing w:after="120" w:line="240" w:lineRule="atLeast"/>
        <w:rPr>
          <w:rFonts w:ascii="Arial" w:hAnsi="Arial" w:cs="Arial"/>
          <w:sz w:val="18"/>
          <w:szCs w:val="18"/>
        </w:rPr>
      </w:pPr>
      <w:r w:rsidRPr="00DA0557">
        <w:rPr>
          <w:rFonts w:ascii="Arial" w:hAnsi="Arial" w:cs="Arial"/>
          <w:sz w:val="18"/>
          <w:szCs w:val="18"/>
        </w:rPr>
        <w:t xml:space="preserve">Non-cancellable policies covering a period of greater than 18 months should be recorded as multi-year policies. </w:t>
      </w:r>
    </w:p>
    <w:p w14:paraId="46065A28" w14:textId="77777777" w:rsidR="00491E54" w:rsidRPr="00DA0557" w:rsidRDefault="00491E54" w:rsidP="00DA0557">
      <w:pPr>
        <w:pStyle w:val="ListParagraph"/>
        <w:numPr>
          <w:ilvl w:val="0"/>
          <w:numId w:val="24"/>
        </w:numPr>
        <w:tabs>
          <w:tab w:val="num" w:pos="710"/>
          <w:tab w:val="num" w:pos="1525"/>
          <w:tab w:val="right" w:pos="5897"/>
          <w:tab w:val="right" w:pos="9582"/>
        </w:tabs>
        <w:spacing w:after="120" w:line="240" w:lineRule="atLeast"/>
        <w:rPr>
          <w:rFonts w:ascii="Arial" w:hAnsi="Arial" w:cs="Arial"/>
          <w:sz w:val="18"/>
          <w:szCs w:val="18"/>
        </w:rPr>
      </w:pPr>
      <w:r w:rsidRPr="00DA0557">
        <w:rPr>
          <w:rFonts w:ascii="Arial" w:hAnsi="Arial" w:cs="Arial"/>
          <w:sz w:val="18"/>
          <w:szCs w:val="18"/>
        </w:rPr>
        <w:t>Multi-year policies should either have matching reinsurance cover or be limited to the agreed maximum net exposure to the class of business as set out in the syndicate’s business plan.</w:t>
      </w:r>
    </w:p>
    <w:p w14:paraId="7CBD9681" w14:textId="77777777" w:rsidR="00491E54" w:rsidRPr="00491E54" w:rsidRDefault="00491E54" w:rsidP="00491E54">
      <w:pPr>
        <w:tabs>
          <w:tab w:val="right" w:pos="5897"/>
        </w:tabs>
        <w:spacing w:line="240" w:lineRule="atLeast"/>
        <w:rPr>
          <w:rFonts w:ascii="Arial" w:hAnsi="Arial" w:cs="Arial"/>
          <w:sz w:val="18"/>
          <w:szCs w:val="18"/>
        </w:rPr>
      </w:pPr>
    </w:p>
    <w:p w14:paraId="1043DB3C" w14:textId="56B1A899" w:rsidR="00491E54" w:rsidRPr="00491E54" w:rsidRDefault="00491E54" w:rsidP="00DA0557">
      <w:pPr>
        <w:keepNext/>
        <w:spacing w:after="240" w:line="280" w:lineRule="atLeast"/>
        <w:ind w:left="360"/>
        <w:rPr>
          <w:rFonts w:ascii="Arial" w:hAnsi="Arial" w:cs="Arial"/>
          <w:b/>
          <w:bCs/>
          <w:color w:val="000000"/>
          <w:sz w:val="18"/>
          <w:szCs w:val="18"/>
          <w:lang w:val="en-US" w:eastAsia="en-US"/>
        </w:rPr>
      </w:pPr>
      <w:r w:rsidRPr="00491E54">
        <w:rPr>
          <w:rFonts w:ascii="Arial" w:hAnsi="Arial" w:cs="Arial"/>
          <w:b/>
          <w:bCs/>
          <w:color w:val="000000"/>
          <w:sz w:val="18"/>
          <w:szCs w:val="18"/>
          <w:u w:val="single"/>
          <w:lang w:val="en-US" w:eastAsia="en-US"/>
        </w:rPr>
        <w:t>Guidance</w:t>
      </w:r>
    </w:p>
    <w:p w14:paraId="163E56C1"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MT" w:hAnsi="ArialMT"/>
          <w:color w:val="000000"/>
          <w:sz w:val="18"/>
          <w:szCs w:val="18"/>
        </w:rPr>
        <w:t>Account will be taken of the availability of reinsurance protection which matches the vertical limits to be written, the policy periods written, the terms and conditions of the inwards policies, plus the adequacy of the reinstatement protection.</w:t>
      </w:r>
    </w:p>
    <w:p w14:paraId="7092E84D" w14:textId="7A201311"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Managing agents (together with their auditors, where appropriate) are responsible for deciding whether reallocation of premium is appropriate on multi-year policies (</w:t>
      </w:r>
      <w:r w:rsidR="00DA0557" w:rsidRPr="00491E54">
        <w:rPr>
          <w:rFonts w:ascii="Arial" w:hAnsi="Arial" w:cs="Arial"/>
          <w:sz w:val="18"/>
          <w:szCs w:val="18"/>
        </w:rPr>
        <w:t>i.e.</w:t>
      </w:r>
      <w:r w:rsidRPr="00491E54">
        <w:rPr>
          <w:rFonts w:ascii="Arial" w:hAnsi="Arial" w:cs="Arial"/>
          <w:sz w:val="18"/>
          <w:szCs w:val="18"/>
        </w:rPr>
        <w:t xml:space="preserve"> contracts where the overall period of risk exceeds 18 months and the costs and/or benefits under the contract may affect more than one year of account). </w:t>
      </w:r>
    </w:p>
    <w:p w14:paraId="4EE6C908" w14:textId="4E778527" w:rsidR="00491E54" w:rsidRPr="0068657E" w:rsidRDefault="00491E54" w:rsidP="0068657E">
      <w:pPr>
        <w:pStyle w:val="ListParagraph"/>
        <w:keepNext/>
        <w:numPr>
          <w:ilvl w:val="0"/>
          <w:numId w:val="19"/>
        </w:numPr>
        <w:tabs>
          <w:tab w:val="num" w:pos="369"/>
          <w:tab w:val="right" w:pos="9582"/>
        </w:tabs>
        <w:spacing w:line="240" w:lineRule="atLeast"/>
        <w:rPr>
          <w:rFonts w:ascii="Arial" w:hAnsi="Arial" w:cs="Arial"/>
          <w:b/>
          <w:sz w:val="18"/>
          <w:szCs w:val="18"/>
          <w:lang w:val="en-US"/>
        </w:rPr>
      </w:pPr>
      <w:r w:rsidRPr="0068657E">
        <w:rPr>
          <w:rFonts w:ascii="Arial" w:hAnsi="Arial" w:cs="Arial"/>
          <w:b/>
          <w:sz w:val="18"/>
          <w:szCs w:val="18"/>
          <w:lang w:val="en-US"/>
        </w:rPr>
        <w:t>Overall market dominance by a managing agent</w:t>
      </w:r>
    </w:p>
    <w:p w14:paraId="06BB29E0" w14:textId="77777777" w:rsidR="00491E54" w:rsidRPr="00491E54" w:rsidRDefault="00491E54" w:rsidP="00491E54">
      <w:pPr>
        <w:keepNext/>
        <w:tabs>
          <w:tab w:val="right" w:pos="5897"/>
        </w:tabs>
        <w:spacing w:line="240" w:lineRule="atLeast"/>
        <w:ind w:left="-142"/>
        <w:rPr>
          <w:rFonts w:ascii="Arial" w:hAnsi="Arial" w:cs="Arial"/>
          <w:sz w:val="18"/>
          <w:szCs w:val="18"/>
          <w:u w:val="single"/>
          <w:lang w:val="en-US"/>
        </w:rPr>
      </w:pPr>
    </w:p>
    <w:p w14:paraId="67E1AFA1" w14:textId="75196C9D" w:rsidR="00491E54" w:rsidRPr="00491E54" w:rsidRDefault="00491E54" w:rsidP="00A75B20">
      <w:pPr>
        <w:tabs>
          <w:tab w:val="right" w:pos="5897"/>
        </w:tabs>
        <w:spacing w:after="240" w:line="240" w:lineRule="atLeast"/>
        <w:rPr>
          <w:rFonts w:ascii="Arial" w:hAnsi="Arial" w:cs="Arial"/>
          <w:sz w:val="18"/>
          <w:szCs w:val="18"/>
        </w:rPr>
      </w:pPr>
      <w:r w:rsidRPr="00491E54">
        <w:rPr>
          <w:rFonts w:ascii="Arial" w:hAnsi="Arial" w:cs="Arial"/>
          <w:sz w:val="18"/>
          <w:szCs w:val="18"/>
        </w:rPr>
        <w:t xml:space="preserve">No managing agent should write more than 15% of the overall market gross net premium without the prior agreement of Lloyd’s. </w:t>
      </w:r>
    </w:p>
    <w:p w14:paraId="581BAD9F" w14:textId="77777777" w:rsidR="00491E54" w:rsidRPr="00491E54" w:rsidRDefault="00491E54" w:rsidP="001A55A3">
      <w:pPr>
        <w:pStyle w:val="Heading3"/>
      </w:pPr>
      <w:bookmarkStart w:id="7" w:name="_Toc236925680"/>
      <w:r w:rsidRPr="00491E54">
        <w:t>Overwriting</w:t>
      </w:r>
      <w:bookmarkEnd w:id="7"/>
    </w:p>
    <w:p w14:paraId="38E08973" w14:textId="77777777" w:rsidR="00491E54" w:rsidRPr="00491E54" w:rsidRDefault="00491E54" w:rsidP="00491E54">
      <w:pPr>
        <w:tabs>
          <w:tab w:val="right" w:pos="5897"/>
        </w:tabs>
        <w:spacing w:line="280" w:lineRule="exact"/>
        <w:outlineLvl w:val="1"/>
        <w:rPr>
          <w:rFonts w:ascii="Arial" w:hAnsi="Arial" w:cs="Arial"/>
          <w:color w:val="1E35BF"/>
          <w:spacing w:val="-2"/>
          <w:kern w:val="28"/>
          <w:sz w:val="28"/>
          <w:szCs w:val="28"/>
        </w:rPr>
      </w:pPr>
    </w:p>
    <w:p w14:paraId="1905CEB5" w14:textId="77777777" w:rsidR="00491E54" w:rsidRPr="00CB04DC" w:rsidRDefault="00491E54" w:rsidP="00491E54">
      <w:pPr>
        <w:tabs>
          <w:tab w:val="right" w:pos="5897"/>
        </w:tabs>
        <w:spacing w:after="240" w:line="240" w:lineRule="atLeast"/>
        <w:rPr>
          <w:rFonts w:ascii="Arial" w:hAnsi="Arial" w:cs="Arial"/>
          <w:sz w:val="18"/>
          <w:szCs w:val="18"/>
        </w:rPr>
      </w:pPr>
      <w:r w:rsidRPr="00491E54">
        <w:rPr>
          <w:rFonts w:ascii="Arial" w:hAnsi="Arial" w:cs="Arial"/>
          <w:sz w:val="18"/>
          <w:szCs w:val="18"/>
        </w:rPr>
        <w:t xml:space="preserve">Overwriting is writing more GWP at a whole account level than has been approved by Lloyd’s for the year of account in question as stated in the most recent SBF approval letter or where the GWP for a particular class is materially greater than </w:t>
      </w:r>
      <w:r w:rsidRPr="00CB04DC">
        <w:rPr>
          <w:rFonts w:ascii="Arial" w:hAnsi="Arial" w:cs="Arial"/>
          <w:sz w:val="18"/>
          <w:szCs w:val="18"/>
        </w:rPr>
        <w:t xml:space="preserve">that stated in the most recently approved SBF for that particular class. </w:t>
      </w:r>
    </w:p>
    <w:p w14:paraId="0ED7A5A3" w14:textId="77777777" w:rsidR="00491E54" w:rsidRPr="00CB04DC" w:rsidRDefault="00491E54" w:rsidP="00491E54">
      <w:pPr>
        <w:tabs>
          <w:tab w:val="right" w:pos="5897"/>
        </w:tabs>
        <w:spacing w:after="240" w:line="240" w:lineRule="atLeast"/>
        <w:rPr>
          <w:rFonts w:ascii="Arial" w:hAnsi="Arial" w:cs="Arial"/>
          <w:sz w:val="18"/>
          <w:szCs w:val="18"/>
        </w:rPr>
      </w:pPr>
      <w:r w:rsidRPr="00CB04DC">
        <w:rPr>
          <w:rFonts w:ascii="Arial" w:hAnsi="Arial" w:cs="Arial"/>
          <w:sz w:val="18"/>
          <w:szCs w:val="18"/>
        </w:rPr>
        <w:t>Overwriting, may also result in a syndicate exceeding its capacity.</w:t>
      </w:r>
    </w:p>
    <w:p w14:paraId="22642C9F" w14:textId="23AA5B20" w:rsidR="001E7154" w:rsidRPr="00CB04DC" w:rsidRDefault="1B51695F" w:rsidP="00A624C8">
      <w:pPr>
        <w:tabs>
          <w:tab w:val="right" w:pos="5897"/>
        </w:tabs>
        <w:spacing w:after="240" w:line="240" w:lineRule="atLeast"/>
        <w:rPr>
          <w:rFonts w:ascii="Arial" w:hAnsi="Arial" w:cs="Arial"/>
          <w:sz w:val="18"/>
          <w:szCs w:val="18"/>
        </w:rPr>
      </w:pPr>
      <w:r w:rsidRPr="00CB04DC">
        <w:rPr>
          <w:rFonts w:ascii="Arial" w:hAnsi="Arial" w:cs="Arial"/>
          <w:sz w:val="18"/>
          <w:szCs w:val="18"/>
        </w:rPr>
        <w:t>I</w:t>
      </w:r>
      <w:r w:rsidR="001E7154" w:rsidRPr="00CB04DC">
        <w:rPr>
          <w:rFonts w:ascii="Arial" w:hAnsi="Arial" w:cs="Arial"/>
          <w:sz w:val="18"/>
          <w:szCs w:val="18"/>
        </w:rPr>
        <w:t>t is for managing agents to monitor premium volumes against their approved plans, in order to identify if they are likely to overwrite and to take appropriate action, including notifying the Syndicate Performance team.</w:t>
      </w:r>
    </w:p>
    <w:p w14:paraId="01FA1451" w14:textId="77777777"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The procedure for obtaining Lloyd's agreement to overwrite</w:t>
      </w:r>
    </w:p>
    <w:p w14:paraId="71EA2072" w14:textId="77777777" w:rsidR="00491E54" w:rsidRPr="00491E54" w:rsidRDefault="00491E54" w:rsidP="00491E54">
      <w:pPr>
        <w:keepNext/>
        <w:spacing w:line="280" w:lineRule="atLeast"/>
        <w:rPr>
          <w:rFonts w:ascii="Arial" w:hAnsi="Arial" w:cs="Arial"/>
          <w:b/>
          <w:color w:val="000000"/>
          <w:sz w:val="18"/>
          <w:szCs w:val="18"/>
          <w:lang w:val="en-US" w:eastAsia="en-US"/>
        </w:rPr>
      </w:pPr>
    </w:p>
    <w:p w14:paraId="3DEB9806"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If a syndicate wishes to overwrite, its managing agent must obtain prior approval from Syndicate Performance who, in conjunction with the managing agent, will determine if a revised SBF and SCR needs to be submitted.</w:t>
      </w:r>
    </w:p>
    <w:p w14:paraId="1233EA3C"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Note:</w:t>
      </w:r>
    </w:p>
    <w:p w14:paraId="6CADC148" w14:textId="77777777" w:rsidR="00491E54" w:rsidRPr="0068657E" w:rsidRDefault="00491E54" w:rsidP="00A75B20">
      <w:pPr>
        <w:pStyle w:val="ListParagraph"/>
        <w:numPr>
          <w:ilvl w:val="0"/>
          <w:numId w:val="25"/>
        </w:numPr>
        <w:tabs>
          <w:tab w:val="num" w:pos="426"/>
          <w:tab w:val="right" w:pos="9582"/>
        </w:tabs>
        <w:spacing w:line="240" w:lineRule="atLeast"/>
        <w:rPr>
          <w:rFonts w:ascii="Arial" w:hAnsi="Arial"/>
          <w:sz w:val="18"/>
          <w:szCs w:val="18"/>
        </w:rPr>
      </w:pPr>
      <w:r w:rsidRPr="0068657E">
        <w:rPr>
          <w:rFonts w:ascii="Arial" w:hAnsi="Arial"/>
          <w:sz w:val="18"/>
          <w:szCs w:val="18"/>
        </w:rPr>
        <w:t xml:space="preserve">Managing agents should contact their </w:t>
      </w:r>
      <w:r w:rsidRPr="0068657E">
        <w:rPr>
          <w:rFonts w:ascii="Arial" w:hAnsi="Arial" w:cs="Arial"/>
          <w:bCs/>
          <w:sz w:val="18"/>
          <w:szCs w:val="18"/>
        </w:rPr>
        <w:t>Syndicate Performance</w:t>
      </w:r>
      <w:r w:rsidRPr="0068657E">
        <w:rPr>
          <w:rFonts w:ascii="Arial" w:hAnsi="Arial"/>
          <w:sz w:val="18"/>
          <w:szCs w:val="18"/>
        </w:rPr>
        <w:t xml:space="preserve"> Manager if they require clarification as to whether a particular variance of GWP for a class of business would be considered ‘material’.  The key considerations will include the size of increase and the impact on capital requirements resulting from a change in the composition of the whole account portfolio. </w:t>
      </w:r>
    </w:p>
    <w:p w14:paraId="60DCDDEA" w14:textId="77777777" w:rsidR="00491E54" w:rsidRPr="0000770C" w:rsidRDefault="00491E54" w:rsidP="00A75B20">
      <w:pPr>
        <w:pStyle w:val="ListParagraph"/>
        <w:numPr>
          <w:ilvl w:val="0"/>
          <w:numId w:val="25"/>
        </w:numPr>
        <w:tabs>
          <w:tab w:val="num" w:pos="426"/>
          <w:tab w:val="right" w:pos="9582"/>
        </w:tabs>
        <w:spacing w:line="240" w:lineRule="atLeast"/>
        <w:rPr>
          <w:rFonts w:ascii="Arial" w:hAnsi="Arial"/>
          <w:sz w:val="18"/>
          <w:szCs w:val="18"/>
        </w:rPr>
      </w:pPr>
      <w:r w:rsidRPr="0068657E">
        <w:rPr>
          <w:rFonts w:ascii="Arial" w:hAnsi="Arial"/>
          <w:sz w:val="18"/>
          <w:szCs w:val="18"/>
        </w:rPr>
        <w:t xml:space="preserve">The </w:t>
      </w:r>
      <w:r w:rsidRPr="0068657E">
        <w:rPr>
          <w:rFonts w:ascii="Arial" w:hAnsi="Arial" w:cs="Arial"/>
          <w:bCs/>
          <w:sz w:val="18"/>
          <w:szCs w:val="18"/>
        </w:rPr>
        <w:t>Syndicate Performance</w:t>
      </w:r>
      <w:r w:rsidRPr="0068657E" w:rsidDel="00A22797">
        <w:rPr>
          <w:rFonts w:ascii="Arial" w:hAnsi="Arial"/>
          <w:sz w:val="18"/>
          <w:szCs w:val="18"/>
        </w:rPr>
        <w:t xml:space="preserve"> </w:t>
      </w:r>
      <w:r w:rsidRPr="0068657E">
        <w:rPr>
          <w:rFonts w:ascii="Arial" w:hAnsi="Arial"/>
          <w:sz w:val="18"/>
          <w:szCs w:val="18"/>
        </w:rPr>
        <w:t xml:space="preserve">team use the Quarterly Monitoring Return (QMB) and the PMDR Return to assess the expected premium volume for the year. The </w:t>
      </w:r>
      <w:r w:rsidRPr="0068657E">
        <w:rPr>
          <w:rFonts w:ascii="Arial" w:hAnsi="Arial" w:cs="Arial"/>
          <w:bCs/>
          <w:sz w:val="18"/>
          <w:szCs w:val="18"/>
        </w:rPr>
        <w:t>Syndicate Performance</w:t>
      </w:r>
      <w:r w:rsidRPr="0068657E">
        <w:rPr>
          <w:rFonts w:ascii="Arial" w:hAnsi="Arial"/>
          <w:sz w:val="18"/>
          <w:szCs w:val="18"/>
        </w:rPr>
        <w:t xml:space="preserve"> team takes into account fluctuations in exchange rates when monitoring premium volume. This ensures that Lloyd’s is comparing the plan and PMDR on </w:t>
      </w:r>
      <w:r w:rsidRPr="0000770C">
        <w:rPr>
          <w:rFonts w:ascii="Arial" w:hAnsi="Arial"/>
          <w:sz w:val="18"/>
          <w:szCs w:val="18"/>
        </w:rPr>
        <w:t>as consistent a basis as possible.</w:t>
      </w:r>
    </w:p>
    <w:p w14:paraId="28B41B63" w14:textId="4CA7FD1A" w:rsidR="00491E54" w:rsidRPr="00CB04DC" w:rsidRDefault="00491E54" w:rsidP="0033591C">
      <w:pPr>
        <w:pStyle w:val="ListParagraph"/>
        <w:numPr>
          <w:ilvl w:val="0"/>
          <w:numId w:val="25"/>
        </w:numPr>
        <w:tabs>
          <w:tab w:val="num" w:pos="426"/>
          <w:tab w:val="right" w:pos="9582"/>
        </w:tabs>
        <w:spacing w:line="240" w:lineRule="atLeast"/>
        <w:rPr>
          <w:rFonts w:ascii="Aptos" w:eastAsia="Aptos" w:hAnsi="Aptos" w:cs="Aptos"/>
          <w:i/>
          <w:iCs/>
          <w:sz w:val="20"/>
          <w:szCs w:val="20"/>
        </w:rPr>
      </w:pPr>
      <w:r w:rsidRPr="0000770C">
        <w:rPr>
          <w:rFonts w:ascii="Arial" w:hAnsi="Arial"/>
          <w:sz w:val="18"/>
          <w:szCs w:val="18"/>
        </w:rPr>
        <w:lastRenderedPageBreak/>
        <w:t xml:space="preserve">The </w:t>
      </w:r>
      <w:r w:rsidRPr="00CB04DC">
        <w:rPr>
          <w:rFonts w:ascii="Arial" w:hAnsi="Arial"/>
          <w:sz w:val="18"/>
          <w:szCs w:val="18"/>
        </w:rPr>
        <w:t xml:space="preserve">requirement to inform the </w:t>
      </w:r>
      <w:r w:rsidRPr="00CB04DC">
        <w:rPr>
          <w:rFonts w:ascii="Arial" w:hAnsi="Arial" w:cs="Arial"/>
          <w:sz w:val="18"/>
          <w:szCs w:val="18"/>
        </w:rPr>
        <w:t>Syndicate Performance</w:t>
      </w:r>
      <w:r w:rsidRPr="00CB04DC">
        <w:rPr>
          <w:rFonts w:ascii="Arial" w:hAnsi="Arial"/>
          <w:sz w:val="18"/>
          <w:szCs w:val="18"/>
        </w:rPr>
        <w:t xml:space="preserve"> team of overwriting is derived from the Underwriting Byelaw, which requires that managing agents should write in accordance with a syndicate’s approved business plan and provides that managing agents should notify Lloyd’s where they deviate from the plan (paragraphs 25 and 26).  </w:t>
      </w:r>
      <w:r w:rsidR="0033591C" w:rsidRPr="00CB04DC">
        <w:rPr>
          <w:rFonts w:asciiTheme="minorBidi" w:eastAsia="Aptos" w:hAnsiTheme="minorBidi" w:cstheme="minorBidi"/>
          <w:sz w:val="18"/>
          <w:szCs w:val="18"/>
        </w:rPr>
        <w:t>Deviation from the approved GWP plan, does not include movements, upwards or downwards, to the agreed mean expected Inwards Reinstatement GWP as stated within the syndicate’s approved business plan.</w:t>
      </w:r>
    </w:p>
    <w:p w14:paraId="143A5677" w14:textId="40C7908A" w:rsidR="00491E54" w:rsidRPr="00CB04DC" w:rsidRDefault="00491E54" w:rsidP="00A75B20">
      <w:pPr>
        <w:pStyle w:val="ListParagraph"/>
        <w:numPr>
          <w:ilvl w:val="0"/>
          <w:numId w:val="25"/>
        </w:numPr>
        <w:tabs>
          <w:tab w:val="num" w:pos="426"/>
          <w:tab w:val="right" w:pos="9582"/>
        </w:tabs>
        <w:spacing w:line="240" w:lineRule="atLeast"/>
        <w:rPr>
          <w:rFonts w:ascii="Arial" w:hAnsi="Arial"/>
          <w:sz w:val="18"/>
          <w:szCs w:val="18"/>
        </w:rPr>
      </w:pPr>
      <w:r w:rsidRPr="00CB04DC">
        <w:rPr>
          <w:rFonts w:ascii="Arial" w:hAnsi="Arial"/>
          <w:sz w:val="18"/>
          <w:szCs w:val="18"/>
        </w:rPr>
        <w:t>There is also a separate requirement on managing agents under the Underwriting Byelaw to take reasonable steps to ensure that they do not write in excess of the syndicate’s capacity (as calculated based on Gross Net Premium) (paragraph 37).  Writing in excess of the syndicate’s approved GWP or exceeding its capacity may therefore be a breach of Lloyd’s byelaws.</w:t>
      </w:r>
    </w:p>
    <w:p w14:paraId="1D13E1C2" w14:textId="77777777" w:rsidR="00491E54" w:rsidRPr="00491E54" w:rsidRDefault="00491E54" w:rsidP="00491E54">
      <w:pPr>
        <w:tabs>
          <w:tab w:val="right" w:pos="5897"/>
        </w:tabs>
        <w:spacing w:after="120" w:line="240" w:lineRule="atLeast"/>
        <w:rPr>
          <w:rFonts w:ascii="Arial" w:hAnsi="Arial"/>
          <w:sz w:val="18"/>
          <w:szCs w:val="18"/>
        </w:rPr>
      </w:pPr>
    </w:p>
    <w:p w14:paraId="1EC890BE" w14:textId="77777777" w:rsidR="00491E54" w:rsidRPr="00491E54" w:rsidRDefault="00491E54" w:rsidP="00491E54">
      <w:pPr>
        <w:keepNext/>
        <w:spacing w:line="280" w:lineRule="atLeast"/>
        <w:rPr>
          <w:rFonts w:ascii="Arial" w:hAnsi="Arial" w:cs="Arial"/>
          <w:b/>
          <w:color w:val="1E35BF"/>
          <w:szCs w:val="24"/>
          <w:lang w:val="en-US" w:eastAsia="en-US"/>
        </w:rPr>
      </w:pPr>
      <w:r w:rsidRPr="00491E54">
        <w:rPr>
          <w:rFonts w:ascii="Arial" w:hAnsi="Arial" w:cs="Arial"/>
          <w:b/>
          <w:color w:val="1E35BF"/>
          <w:szCs w:val="24"/>
          <w:lang w:val="en-US" w:eastAsia="en-US"/>
        </w:rPr>
        <w:t>The implications of overwriting</w:t>
      </w:r>
    </w:p>
    <w:p w14:paraId="0F658485" w14:textId="77777777" w:rsidR="00491E54" w:rsidRPr="00491E54" w:rsidRDefault="00491E54" w:rsidP="00491E54">
      <w:pPr>
        <w:keepNext/>
        <w:spacing w:line="280" w:lineRule="atLeast"/>
        <w:rPr>
          <w:rFonts w:ascii="Arial" w:hAnsi="Arial" w:cs="Arial"/>
          <w:b/>
          <w:color w:val="1E35BF"/>
          <w:szCs w:val="24"/>
          <w:lang w:val="en-US" w:eastAsia="en-US"/>
        </w:rPr>
      </w:pPr>
    </w:p>
    <w:p w14:paraId="44999E56"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If a syndicate has identified that it may overwrite or if it wishes to obtain Lloyd's agreement to overwrite, the Syndicate Performance team will wish to discuss the following points:</w:t>
      </w:r>
    </w:p>
    <w:p w14:paraId="545C0FAD" w14:textId="0E510A91"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 xml:space="preserve">The reasons for overwriting – </w:t>
      </w:r>
      <w:r w:rsidR="00835977" w:rsidRPr="00835977">
        <w:rPr>
          <w:rFonts w:ascii="Arial" w:hAnsi="Arial"/>
          <w:sz w:val="18"/>
          <w:szCs w:val="18"/>
        </w:rPr>
        <w:t>i.e.</w:t>
      </w:r>
      <w:r w:rsidRPr="00835977">
        <w:rPr>
          <w:rFonts w:ascii="Arial" w:hAnsi="Arial"/>
          <w:sz w:val="18"/>
          <w:szCs w:val="18"/>
        </w:rPr>
        <w:t xml:space="preserve"> due to new business, better rates, failure of controls etc</w:t>
      </w:r>
    </w:p>
    <w:p w14:paraId="6AD22FCB" w14:textId="77777777"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The effect of overwriting on the syndicate's capital requirements</w:t>
      </w:r>
    </w:p>
    <w:p w14:paraId="1C8077AF" w14:textId="77777777"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If applicable, any franchise guideline dispensations</w:t>
      </w:r>
    </w:p>
    <w:p w14:paraId="077C2EA6" w14:textId="77777777"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The procedure taken for notifying the syndicate's capital providers and whether their approval has been obtained</w:t>
      </w:r>
    </w:p>
    <w:p w14:paraId="42164104" w14:textId="77777777"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Whether the SBF and SCR need to be resubmitted</w:t>
      </w:r>
    </w:p>
    <w:p w14:paraId="6AC8FE75" w14:textId="77777777" w:rsidR="00491E54" w:rsidRPr="00835977" w:rsidRDefault="00491E54" w:rsidP="00835977">
      <w:pPr>
        <w:pStyle w:val="ListParagraph"/>
        <w:numPr>
          <w:ilvl w:val="0"/>
          <w:numId w:val="26"/>
        </w:numPr>
        <w:tabs>
          <w:tab w:val="num" w:pos="426"/>
          <w:tab w:val="num" w:pos="596"/>
          <w:tab w:val="right" w:pos="9582"/>
        </w:tabs>
        <w:spacing w:line="240" w:lineRule="atLeast"/>
        <w:rPr>
          <w:rFonts w:ascii="Arial" w:hAnsi="Arial"/>
          <w:sz w:val="18"/>
          <w:szCs w:val="18"/>
        </w:rPr>
      </w:pPr>
      <w:r w:rsidRPr="00835977">
        <w:rPr>
          <w:rFonts w:ascii="Arial" w:hAnsi="Arial"/>
          <w:sz w:val="18"/>
          <w:szCs w:val="18"/>
        </w:rPr>
        <w:t>The profitability of any additional premium and the impact on class and syndicate performance</w:t>
      </w:r>
    </w:p>
    <w:p w14:paraId="3BD6BDB3" w14:textId="77777777" w:rsidR="00491E54" w:rsidRPr="00CB04DC" w:rsidRDefault="00491E54" w:rsidP="00491E54">
      <w:pPr>
        <w:tabs>
          <w:tab w:val="num" w:pos="596"/>
          <w:tab w:val="right" w:pos="9582"/>
        </w:tabs>
        <w:spacing w:line="240" w:lineRule="atLeast"/>
        <w:ind w:left="142"/>
        <w:rPr>
          <w:rFonts w:ascii="Arial" w:hAnsi="Arial"/>
          <w:sz w:val="18"/>
          <w:szCs w:val="18"/>
        </w:rPr>
      </w:pPr>
    </w:p>
    <w:p w14:paraId="383844C9" w14:textId="20B7F087" w:rsidR="00491E54" w:rsidRPr="00CB04DC" w:rsidRDefault="00491E54" w:rsidP="00491E54">
      <w:pPr>
        <w:tabs>
          <w:tab w:val="right" w:pos="5897"/>
        </w:tabs>
        <w:spacing w:after="240" w:line="240" w:lineRule="atLeast"/>
        <w:ind w:right="-17"/>
        <w:rPr>
          <w:rFonts w:ascii="Arial" w:hAnsi="Arial" w:cs="Arial"/>
          <w:bCs/>
          <w:sz w:val="18"/>
          <w:szCs w:val="18"/>
        </w:rPr>
      </w:pPr>
      <w:r w:rsidRPr="00CB04DC">
        <w:rPr>
          <w:rFonts w:ascii="Arial" w:hAnsi="Arial" w:cs="Arial"/>
          <w:bCs/>
          <w:sz w:val="18"/>
          <w:szCs w:val="18"/>
        </w:rPr>
        <w:t>Where a syndicate fails to notify the Syndicate Performance team that it may overwrite and subsequently the QMB, PMDR or other core market returns show that the syndicate has actually overwritten, the Syndicate Performance team will, in addition to the above considerations, also wish to review the effectiveness of management controls</w:t>
      </w:r>
      <w:r w:rsidR="000F19FA" w:rsidRPr="00CB04DC">
        <w:rPr>
          <w:rFonts w:ascii="Arial" w:hAnsi="Arial" w:cs="Arial"/>
          <w:bCs/>
          <w:sz w:val="18"/>
          <w:szCs w:val="18"/>
        </w:rPr>
        <w:t xml:space="preserve"> with potential impacts on the </w:t>
      </w:r>
      <w:r w:rsidR="00C46218" w:rsidRPr="00CB04DC">
        <w:rPr>
          <w:rFonts w:ascii="Arial" w:hAnsi="Arial" w:cs="Arial"/>
          <w:bCs/>
          <w:sz w:val="18"/>
          <w:szCs w:val="18"/>
        </w:rPr>
        <w:t>syndicate’s PBO rating</w:t>
      </w:r>
      <w:r w:rsidRPr="00CB04DC">
        <w:rPr>
          <w:rFonts w:ascii="Arial" w:hAnsi="Arial" w:cs="Arial"/>
          <w:bCs/>
          <w:sz w:val="18"/>
          <w:szCs w:val="18"/>
        </w:rPr>
        <w:t xml:space="preserve">. The risk of premium volumes exceeding plan will be taken into account when agreeing both business plans and SCRs. </w:t>
      </w:r>
    </w:p>
    <w:p w14:paraId="61B394CE" w14:textId="77777777" w:rsidR="00491E54" w:rsidRPr="00491E54" w:rsidRDefault="00491E54" w:rsidP="00491E54">
      <w:pPr>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Writing in excess of the syndicate’s capacity</w:t>
      </w:r>
    </w:p>
    <w:p w14:paraId="41608F1C" w14:textId="77777777" w:rsidR="00491E54" w:rsidRPr="00491E54" w:rsidRDefault="00491E54" w:rsidP="00491E54">
      <w:pPr>
        <w:spacing w:line="280" w:lineRule="atLeast"/>
        <w:rPr>
          <w:rFonts w:ascii="Arial" w:hAnsi="Arial" w:cs="Arial"/>
          <w:b/>
          <w:color w:val="1E35BF"/>
          <w:sz w:val="22"/>
          <w:szCs w:val="22"/>
          <w:lang w:val="en-US" w:eastAsia="en-US"/>
        </w:rPr>
      </w:pPr>
    </w:p>
    <w:p w14:paraId="305EEAB5"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 xml:space="preserve">As noted, it is a byelaw requirement for managing agents </w:t>
      </w:r>
      <w:r w:rsidRPr="00491E54">
        <w:rPr>
          <w:rFonts w:ascii="Arial" w:hAnsi="Arial"/>
          <w:sz w:val="18"/>
          <w:szCs w:val="18"/>
        </w:rPr>
        <w:t>to take reasonable steps to ensure that they do not write in excess of the syndicate’s capacity</w:t>
      </w:r>
      <w:r w:rsidRPr="00491E54">
        <w:rPr>
          <w:rFonts w:ascii="Arial" w:hAnsi="Arial" w:cs="Arial"/>
          <w:bCs/>
          <w:sz w:val="18"/>
          <w:szCs w:val="18"/>
        </w:rPr>
        <w:t>.  Where a syndicate is seeking permission to overwrite it will also need to consider if the overwriting will result in the syndicate exceeding its capacity (calculated on a Gross Net Premium basis).  Where a syndicate is wholly aligned or has a small number of members and where all those members give express agreement, it is permissible for a syndicate to increase its capacity (referred to as pre-empting) mid-year as part of obtaining agreement to amend its plan to accommodate any proposed overwriting.  Any increase in capacity should be recorded in the revised SBF.</w:t>
      </w:r>
    </w:p>
    <w:p w14:paraId="445EEACF"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 xml:space="preserve">For non-aligned syndicates with larger memberships, it will not be possible in practice to obtain the positive consent of each member to a pre-emption mid-year and so a mid-year pre-emption of capacity to allow for additional GWP will not be possible.  </w:t>
      </w:r>
    </w:p>
    <w:p w14:paraId="0862E4DD"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In exceptional circumstances, however, the Underwriting Byelaw (paragraph 37(a)) gives Lloyd’s discretion to permit a syndicate to write above its capacity.  Managing agents that require permission to exceed their syndicate’s capacity should contact the Syndicate Performance Team.  Permission will only be given where the managing agent can provide a robust justification for exceeding capacity, receives appropriate agreement from Lloyd’s to any proposed change to its business plan and can demonstrate that it has sufficient capital to support the additional business.  In addition, the managing agent must provide written evidence of support for the overwriting of capacity from each direct corporate participant on the syndicate and from each of the members’ agents that has one or more members participating on the syndicate.</w:t>
      </w:r>
    </w:p>
    <w:p w14:paraId="54F2A7B5"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Any agreement to exceed capacity will only be given for the remainder of the year of account in question.  For the following year of account, the syndicate will be expected to write within its existing capacity or to pre-empt in accordance with the Syndicate Pre-emption Byelaw.</w:t>
      </w:r>
    </w:p>
    <w:p w14:paraId="7C18B825" w14:textId="77777777" w:rsidR="00491E54" w:rsidRPr="00491E54" w:rsidRDefault="00491E54" w:rsidP="00491E54">
      <w:pPr>
        <w:tabs>
          <w:tab w:val="right" w:pos="5897"/>
        </w:tabs>
        <w:spacing w:after="240" w:line="240" w:lineRule="atLeast"/>
        <w:ind w:right="-17"/>
        <w:rPr>
          <w:rFonts w:ascii="Arial" w:hAnsi="Arial" w:cs="Arial"/>
          <w:bCs/>
          <w:sz w:val="18"/>
          <w:szCs w:val="18"/>
        </w:rPr>
      </w:pPr>
      <w:r w:rsidRPr="00491E54">
        <w:rPr>
          <w:rFonts w:ascii="Arial" w:hAnsi="Arial" w:cs="Arial"/>
          <w:bCs/>
          <w:sz w:val="18"/>
          <w:szCs w:val="18"/>
        </w:rPr>
        <w:t>Managing agents are strongly encouraged to ensure they have sufficient headroom in their capacity to avoid the risk that they may exceed it.</w:t>
      </w:r>
    </w:p>
    <w:p w14:paraId="757E8D5C" w14:textId="77777777" w:rsidR="00491E54" w:rsidRPr="00491E54" w:rsidRDefault="00491E54" w:rsidP="001A55A3">
      <w:pPr>
        <w:pStyle w:val="Heading3"/>
      </w:pPr>
      <w:bookmarkStart w:id="8" w:name="_Toc236925681"/>
      <w:r w:rsidRPr="00491E54">
        <w:lastRenderedPageBreak/>
        <w:t>Rate Reductions</w:t>
      </w:r>
      <w:bookmarkEnd w:id="8"/>
    </w:p>
    <w:p w14:paraId="1301FA03" w14:textId="77777777" w:rsidR="00491E54" w:rsidRPr="00491E54" w:rsidRDefault="00491E54" w:rsidP="00491E54">
      <w:pPr>
        <w:keepNext/>
        <w:tabs>
          <w:tab w:val="right" w:pos="5897"/>
        </w:tabs>
        <w:outlineLvl w:val="1"/>
        <w:rPr>
          <w:rFonts w:ascii="Arial" w:hAnsi="Arial" w:cs="Arial"/>
          <w:color w:val="1E35BF"/>
          <w:spacing w:val="-2"/>
          <w:kern w:val="28"/>
          <w:sz w:val="22"/>
          <w:szCs w:val="22"/>
        </w:rPr>
      </w:pPr>
    </w:p>
    <w:p w14:paraId="4DE0F4AB" w14:textId="7B566936" w:rsidR="00491E54" w:rsidRPr="001E66D6" w:rsidRDefault="0026565A" w:rsidP="00491E54">
      <w:pPr>
        <w:tabs>
          <w:tab w:val="right" w:pos="5897"/>
        </w:tabs>
        <w:spacing w:after="240" w:line="240" w:lineRule="atLeast"/>
        <w:rPr>
          <w:rFonts w:ascii="Arial" w:hAnsi="Arial" w:cs="Arial"/>
          <w:bCs/>
          <w:sz w:val="18"/>
          <w:szCs w:val="18"/>
        </w:rPr>
      </w:pPr>
      <w:r w:rsidRPr="001E66D6">
        <w:rPr>
          <w:rFonts w:ascii="Arial" w:hAnsi="Arial" w:cs="Arial"/>
          <w:bCs/>
          <w:sz w:val="18"/>
          <w:szCs w:val="18"/>
        </w:rPr>
        <w:t>Where</w:t>
      </w:r>
      <w:r w:rsidR="00491E54" w:rsidRPr="001E66D6">
        <w:rPr>
          <w:rFonts w:ascii="Arial" w:hAnsi="Arial" w:cs="Arial"/>
          <w:bCs/>
          <w:sz w:val="18"/>
          <w:szCs w:val="18"/>
        </w:rPr>
        <w:t xml:space="preserve"> Risk Adjusted Rate Change (RARC) achieved by a syndicate </w:t>
      </w:r>
      <w:r w:rsidRPr="001E66D6">
        <w:rPr>
          <w:rFonts w:ascii="Arial" w:hAnsi="Arial" w:cs="Arial"/>
          <w:bCs/>
          <w:sz w:val="18"/>
          <w:szCs w:val="18"/>
        </w:rPr>
        <w:t xml:space="preserve">is (or is expected to be) </w:t>
      </w:r>
      <w:r w:rsidR="00491E54" w:rsidRPr="001E66D6">
        <w:rPr>
          <w:rFonts w:ascii="Arial" w:hAnsi="Arial" w:cs="Arial"/>
          <w:bCs/>
          <w:sz w:val="18"/>
          <w:szCs w:val="18"/>
        </w:rPr>
        <w:t>lower than plan</w:t>
      </w:r>
      <w:r w:rsidR="001E66D6" w:rsidRPr="001E66D6">
        <w:rPr>
          <w:rFonts w:ascii="Arial" w:hAnsi="Arial" w:cs="Arial"/>
          <w:bCs/>
          <w:sz w:val="18"/>
          <w:szCs w:val="18"/>
        </w:rPr>
        <w:t>ned</w:t>
      </w:r>
      <w:r w:rsidR="00491E54" w:rsidRPr="001E66D6">
        <w:rPr>
          <w:rFonts w:ascii="Arial" w:hAnsi="Arial" w:cs="Arial"/>
          <w:bCs/>
          <w:sz w:val="18"/>
          <w:szCs w:val="18"/>
        </w:rPr>
        <w:t>, it will usually be the case that syndicates will either write less business than planned to maintain the same rate adequacy or that the price adequacy on business written will be less than planned, potentially resulting in a higher loss ratio than planned in the SBF.  In both circumstances, there may be a consequential effect on profitability and the Insurance Risk element of the syndicate’s approved SCR.</w:t>
      </w:r>
    </w:p>
    <w:p w14:paraId="4A172B13"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If a syndicate expects that rate or price reductions may result in its performance materially deviating from its approved business plan then its managing agent must inform its Syndicate Performance Manager who, in conjunction with the managing agent will determine if a revised SBF needs to be submitted. The agent must also assess the impact on capital and in conjunction with Lloyd’s determine if a re-submission of the SCR is required.</w:t>
      </w:r>
    </w:p>
    <w:p w14:paraId="75DC4167"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A similar and equivalent approach will be adopted by Syndicate Performance for considering and monitoring pricing rate reductions as that set out in the section on Overwriting.</w:t>
      </w:r>
    </w:p>
    <w:p w14:paraId="1DC613E4"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As highlighted in the section on Overwriting, the requirement to inform Syndicate Performance of any material deviation from the SBF is derived from the Underwriting Byelaw (paragraphs 25 and 26), which requires that managing agents should write in accordance with a syndicate’s approved business plan and provides that managing agents should notify Lloyd’s where they expect to deviate from the plan.</w:t>
      </w:r>
    </w:p>
    <w:p w14:paraId="3BF4F81C" w14:textId="77777777" w:rsidR="00491E54" w:rsidRPr="00491E54" w:rsidRDefault="00491E54" w:rsidP="001A55A3">
      <w:pPr>
        <w:pStyle w:val="Heading3"/>
      </w:pPr>
      <w:bookmarkStart w:id="9" w:name="_Toc236925682"/>
      <w:r w:rsidRPr="00491E54">
        <w:t>Outwards Reinsurance</w:t>
      </w:r>
      <w:bookmarkEnd w:id="9"/>
    </w:p>
    <w:p w14:paraId="3FDF1660" w14:textId="77777777" w:rsidR="00491E54" w:rsidRPr="00491E54" w:rsidRDefault="00491E54" w:rsidP="00491E54">
      <w:pPr>
        <w:keepNext/>
        <w:tabs>
          <w:tab w:val="right" w:pos="5897"/>
        </w:tabs>
        <w:outlineLvl w:val="1"/>
        <w:rPr>
          <w:rFonts w:ascii="Arial" w:hAnsi="Arial"/>
          <w:color w:val="1E35BF"/>
          <w:spacing w:val="-2"/>
          <w:kern w:val="28"/>
          <w:sz w:val="28"/>
          <w:szCs w:val="28"/>
        </w:rPr>
      </w:pPr>
    </w:p>
    <w:p w14:paraId="6C6A304C" w14:textId="1A62DCD8" w:rsidR="00491E54" w:rsidRPr="00491E54" w:rsidRDefault="00491E54" w:rsidP="59106796">
      <w:pPr>
        <w:tabs>
          <w:tab w:val="right" w:pos="5897"/>
        </w:tabs>
        <w:spacing w:after="240" w:line="240" w:lineRule="atLeast"/>
        <w:rPr>
          <w:rFonts w:ascii="Arial" w:hAnsi="Arial" w:cs="Arial"/>
          <w:sz w:val="18"/>
          <w:szCs w:val="18"/>
        </w:rPr>
      </w:pPr>
      <w:r w:rsidRPr="59106796">
        <w:rPr>
          <w:rFonts w:ascii="Arial" w:hAnsi="Arial" w:cs="Arial"/>
          <w:sz w:val="18"/>
          <w:szCs w:val="18"/>
        </w:rPr>
        <w:t>Lloyd’s supports syndicates</w:t>
      </w:r>
      <w:r w:rsidR="6925A0F1" w:rsidRPr="59106796">
        <w:rPr>
          <w:rFonts w:ascii="Arial" w:hAnsi="Arial" w:cs="Arial"/>
          <w:sz w:val="18"/>
          <w:szCs w:val="18"/>
        </w:rPr>
        <w:t>’</w:t>
      </w:r>
      <w:r w:rsidRPr="59106796">
        <w:rPr>
          <w:rFonts w:ascii="Arial" w:hAnsi="Arial" w:cs="Arial"/>
          <w:sz w:val="18"/>
          <w:szCs w:val="18"/>
        </w:rPr>
        <w:t xml:space="preserve"> use of reinsurance to manage the insurance risks they write, subject to compliance with Lloyd’s governance framework, and the effective operation of reinsurance management and control practices. </w:t>
      </w:r>
    </w:p>
    <w:p w14:paraId="40CBC221"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Because of the materiality of reinsurance to most syndicates’ businesses, Lloyd’s looks closely at syndicate reinsurance plans when agreeing SBFs and capital calculations. </w:t>
      </w:r>
      <w:r w:rsidRPr="00491E54">
        <w:rPr>
          <w:rFonts w:ascii="Arial" w:hAnsi="Arial"/>
          <w:sz w:val="18"/>
        </w:rPr>
        <w:t xml:space="preserve">Lloyd’s will consider whether planned reinsurance is logical, realistic and achievable, including consideration of risks to both placement execution and ultimate performance of the planned reinsurance. Outside of planning, </w:t>
      </w:r>
      <w:r w:rsidRPr="00491E54">
        <w:rPr>
          <w:rFonts w:ascii="Arial" w:hAnsi="Arial" w:cs="Arial"/>
          <w:bCs/>
          <w:sz w:val="18"/>
          <w:szCs w:val="18"/>
        </w:rPr>
        <w:t xml:space="preserve">Lloyd’s will look to see whether the syndicate’s approach to reinsurance could create any material prudential risks for the syndicate or for Lloyd’s, in the event that the reinsurance protection(s) fail to perform as intended.  </w:t>
      </w:r>
    </w:p>
    <w:p w14:paraId="63E342D4"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In addition to the</w:t>
      </w:r>
      <w:r w:rsidRPr="00491E54">
        <w:rPr>
          <w:rFonts w:ascii="Arial" w:hAnsi="Arial"/>
          <w:sz w:val="18"/>
        </w:rPr>
        <w:t xml:space="preserve"> Lloyd’s Principles for doing business (Principle 3: Outward Reinsurance)</w:t>
      </w:r>
      <w:r w:rsidRPr="00491E54">
        <w:rPr>
          <w:rFonts w:ascii="Arial" w:hAnsi="Arial" w:cs="Arial"/>
          <w:bCs/>
          <w:sz w:val="18"/>
          <w:szCs w:val="18"/>
        </w:rPr>
        <w:t xml:space="preserve">, and any relevant byelaw provisions, Lloyd’s has prescribed the following requirements.  These apply to </w:t>
      </w:r>
      <w:r w:rsidRPr="00491E54">
        <w:rPr>
          <w:rFonts w:ascii="Arial" w:hAnsi="Arial"/>
          <w:sz w:val="18"/>
        </w:rPr>
        <w:t>all</w:t>
      </w:r>
      <w:r w:rsidRPr="00491E54">
        <w:rPr>
          <w:rFonts w:ascii="Arial" w:hAnsi="Arial"/>
          <w:spacing w:val="-6"/>
          <w:sz w:val="18"/>
        </w:rPr>
        <w:t xml:space="preserve"> </w:t>
      </w:r>
      <w:r w:rsidRPr="00491E54">
        <w:rPr>
          <w:rFonts w:ascii="Arial" w:hAnsi="Arial"/>
          <w:sz w:val="18"/>
        </w:rPr>
        <w:t>reinsurance</w:t>
      </w:r>
      <w:r w:rsidRPr="00491E54">
        <w:rPr>
          <w:rFonts w:ascii="Arial" w:hAnsi="Arial"/>
          <w:spacing w:val="-6"/>
          <w:sz w:val="18"/>
        </w:rPr>
        <w:t xml:space="preserve"> </w:t>
      </w:r>
      <w:r w:rsidRPr="00491E54">
        <w:rPr>
          <w:rFonts w:ascii="Arial" w:hAnsi="Arial"/>
          <w:sz w:val="18"/>
        </w:rPr>
        <w:t>arrangements</w:t>
      </w:r>
      <w:r w:rsidRPr="00491E54">
        <w:rPr>
          <w:rFonts w:ascii="Arial" w:hAnsi="Arial"/>
          <w:spacing w:val="-7"/>
          <w:sz w:val="18"/>
        </w:rPr>
        <w:t xml:space="preserve"> </w:t>
      </w:r>
      <w:r w:rsidRPr="00491E54">
        <w:rPr>
          <w:rFonts w:ascii="Arial" w:hAnsi="Arial"/>
          <w:sz w:val="18"/>
        </w:rPr>
        <w:t>that benefit or protect a syndicate.</w:t>
      </w:r>
    </w:p>
    <w:p w14:paraId="34E2C55C" w14:textId="77777777" w:rsidR="00A624C8" w:rsidRDefault="00A624C8" w:rsidP="00491E54">
      <w:pPr>
        <w:keepNext/>
        <w:spacing w:line="280" w:lineRule="atLeast"/>
        <w:rPr>
          <w:rFonts w:ascii="Arial" w:hAnsi="Arial" w:cs="Arial"/>
          <w:b/>
          <w:color w:val="1E35BF"/>
          <w:sz w:val="22"/>
          <w:szCs w:val="22"/>
          <w:lang w:val="en-US" w:eastAsia="en-US"/>
        </w:rPr>
      </w:pPr>
    </w:p>
    <w:p w14:paraId="2087ACDD" w14:textId="59769298"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Reinsurance leverage</w:t>
      </w:r>
    </w:p>
    <w:p w14:paraId="0FFF58B4" w14:textId="77777777" w:rsidR="00491E54" w:rsidRPr="00491E54" w:rsidRDefault="00491E54" w:rsidP="00491E54">
      <w:pPr>
        <w:tabs>
          <w:tab w:val="right" w:pos="9582"/>
        </w:tabs>
        <w:spacing w:line="240" w:lineRule="atLeast"/>
        <w:ind w:left="85"/>
        <w:rPr>
          <w:rFonts w:ascii="Arial" w:hAnsi="Arial"/>
          <w:sz w:val="18"/>
          <w:szCs w:val="18"/>
        </w:rPr>
      </w:pPr>
    </w:p>
    <w:p w14:paraId="0F884A4F" w14:textId="5A8E035C" w:rsidR="00491E54" w:rsidRPr="001E66D6" w:rsidRDefault="623AA45A" w:rsidP="59106796">
      <w:pPr>
        <w:tabs>
          <w:tab w:val="right" w:pos="5897"/>
        </w:tabs>
        <w:spacing w:after="240" w:line="240" w:lineRule="atLeast"/>
        <w:rPr>
          <w:rFonts w:ascii="Arial" w:hAnsi="Arial" w:cs="Arial"/>
          <w:sz w:val="18"/>
          <w:szCs w:val="18"/>
        </w:rPr>
      </w:pPr>
      <w:r w:rsidRPr="001E66D6">
        <w:rPr>
          <w:rFonts w:ascii="Arial" w:hAnsi="Arial" w:cs="Arial"/>
          <w:sz w:val="18"/>
          <w:szCs w:val="18"/>
        </w:rPr>
        <w:t>As a general principle,</w:t>
      </w:r>
      <w:r w:rsidR="00491E54" w:rsidRPr="001E66D6">
        <w:rPr>
          <w:rFonts w:ascii="Arial" w:hAnsi="Arial" w:cs="Arial"/>
          <w:sz w:val="18"/>
          <w:szCs w:val="18"/>
        </w:rPr>
        <w:t xml:space="preserve"> syndicate</w:t>
      </w:r>
      <w:r w:rsidR="492E7B26" w:rsidRPr="001E66D6">
        <w:rPr>
          <w:rFonts w:ascii="Arial" w:hAnsi="Arial" w:cs="Arial"/>
          <w:sz w:val="18"/>
          <w:szCs w:val="18"/>
        </w:rPr>
        <w:t>s</w:t>
      </w:r>
      <w:r w:rsidR="00491E54" w:rsidRPr="001E66D6">
        <w:rPr>
          <w:rFonts w:ascii="Arial" w:hAnsi="Arial" w:cs="Arial"/>
          <w:sz w:val="18"/>
          <w:szCs w:val="18"/>
        </w:rPr>
        <w:t xml:space="preserve"> should avoid excessive financial and strategic reliance on outwards reinsurance</w:t>
      </w:r>
      <w:r w:rsidR="276544AC" w:rsidRPr="001E66D6">
        <w:rPr>
          <w:rFonts w:ascii="Arial" w:hAnsi="Arial" w:cs="Arial"/>
          <w:sz w:val="18"/>
          <w:szCs w:val="18"/>
        </w:rPr>
        <w:t>.</w:t>
      </w:r>
      <w:r w:rsidR="00491E54" w:rsidRPr="001E66D6">
        <w:rPr>
          <w:rFonts w:ascii="Arial" w:hAnsi="Arial" w:cs="Arial"/>
          <w:sz w:val="18"/>
          <w:szCs w:val="18"/>
        </w:rPr>
        <w:t xml:space="preserve"> </w:t>
      </w:r>
      <w:r w:rsidR="23483D0B" w:rsidRPr="001E66D6">
        <w:rPr>
          <w:rFonts w:ascii="Arial" w:hAnsi="Arial" w:cs="Arial"/>
          <w:sz w:val="18"/>
          <w:szCs w:val="18"/>
        </w:rPr>
        <w:t>B</w:t>
      </w:r>
      <w:r w:rsidR="00491E54" w:rsidRPr="001E66D6">
        <w:rPr>
          <w:rFonts w:ascii="Arial" w:hAnsi="Arial" w:cs="Arial"/>
          <w:sz w:val="18"/>
          <w:szCs w:val="18"/>
        </w:rPr>
        <w:t xml:space="preserve">usiness </w:t>
      </w:r>
      <w:r w:rsidR="5534C2E4" w:rsidRPr="001E66D6">
        <w:rPr>
          <w:rFonts w:ascii="Arial" w:hAnsi="Arial" w:cs="Arial"/>
          <w:sz w:val="18"/>
          <w:szCs w:val="18"/>
        </w:rPr>
        <w:t>models</w:t>
      </w:r>
      <w:r w:rsidR="00BA7587" w:rsidRPr="001E66D6">
        <w:rPr>
          <w:rFonts w:ascii="Arial" w:hAnsi="Arial" w:cs="Arial"/>
          <w:sz w:val="18"/>
          <w:szCs w:val="18"/>
        </w:rPr>
        <w:t xml:space="preserve"> </w:t>
      </w:r>
      <w:r w:rsidR="1FF48EA6" w:rsidRPr="001E66D6">
        <w:rPr>
          <w:rFonts w:ascii="Arial" w:hAnsi="Arial" w:cs="Arial"/>
          <w:sz w:val="18"/>
          <w:szCs w:val="18"/>
        </w:rPr>
        <w:t>should not be dependent</w:t>
      </w:r>
      <w:r w:rsidR="00491E54" w:rsidRPr="001E66D6">
        <w:rPr>
          <w:rFonts w:ascii="Arial" w:hAnsi="Arial" w:cs="Arial"/>
          <w:sz w:val="18"/>
          <w:szCs w:val="18"/>
        </w:rPr>
        <w:t xml:space="preserve"> on aggressive arbitrage and/or unsustainable outwards reinsurance arrangements</w:t>
      </w:r>
      <w:r w:rsidR="533CF345" w:rsidRPr="001E66D6">
        <w:rPr>
          <w:rFonts w:ascii="Arial" w:hAnsi="Arial" w:cs="Arial"/>
          <w:sz w:val="18"/>
          <w:szCs w:val="18"/>
        </w:rPr>
        <w:t>.</w:t>
      </w:r>
    </w:p>
    <w:p w14:paraId="19787A8E" w14:textId="505D4785" w:rsidR="00EE1956" w:rsidRPr="001E66D6" w:rsidRDefault="7E398D6A" w:rsidP="00EE1956">
      <w:pPr>
        <w:tabs>
          <w:tab w:val="right" w:pos="5897"/>
        </w:tabs>
        <w:spacing w:after="240" w:line="240" w:lineRule="atLeast"/>
        <w:rPr>
          <w:rFonts w:ascii="Arial" w:hAnsi="Arial" w:cs="Arial"/>
          <w:sz w:val="18"/>
          <w:szCs w:val="18"/>
        </w:rPr>
      </w:pPr>
      <w:r w:rsidRPr="001E66D6">
        <w:rPr>
          <w:rFonts w:ascii="Arial" w:hAnsi="Arial" w:cs="Arial"/>
          <w:sz w:val="18"/>
          <w:szCs w:val="18"/>
        </w:rPr>
        <w:t>W</w:t>
      </w:r>
      <w:r w:rsidR="00491E54" w:rsidRPr="001E66D6">
        <w:rPr>
          <w:rFonts w:ascii="Arial" w:hAnsi="Arial" w:cs="Arial"/>
          <w:sz w:val="18"/>
          <w:szCs w:val="18"/>
        </w:rPr>
        <w:t xml:space="preserve">here </w:t>
      </w:r>
      <w:r w:rsidR="458AD212" w:rsidRPr="001E66D6">
        <w:rPr>
          <w:rFonts w:ascii="Arial" w:hAnsi="Arial" w:cs="Arial"/>
          <w:sz w:val="18"/>
          <w:szCs w:val="18"/>
        </w:rPr>
        <w:t xml:space="preserve">a managing agent proposes </w:t>
      </w:r>
      <w:r w:rsidR="009E31D2" w:rsidRPr="001E66D6">
        <w:rPr>
          <w:rFonts w:ascii="Arial" w:hAnsi="Arial" w:cs="Arial"/>
          <w:sz w:val="18"/>
          <w:szCs w:val="18"/>
        </w:rPr>
        <w:t xml:space="preserve">a </w:t>
      </w:r>
      <w:r w:rsidR="00491E54" w:rsidRPr="001E66D6">
        <w:rPr>
          <w:rFonts w:ascii="Arial" w:hAnsi="Arial" w:cs="Arial"/>
          <w:sz w:val="18"/>
          <w:szCs w:val="18"/>
        </w:rPr>
        <w:t>high</w:t>
      </w:r>
      <w:r w:rsidR="041127AD" w:rsidRPr="001E66D6">
        <w:rPr>
          <w:rFonts w:ascii="Arial" w:hAnsi="Arial" w:cs="Arial"/>
          <w:sz w:val="18"/>
          <w:szCs w:val="18"/>
        </w:rPr>
        <w:t>er</w:t>
      </w:r>
      <w:r w:rsidR="00491E54" w:rsidRPr="001E66D6">
        <w:rPr>
          <w:rFonts w:ascii="Arial" w:hAnsi="Arial" w:cs="Arial"/>
          <w:sz w:val="18"/>
          <w:szCs w:val="18"/>
        </w:rPr>
        <w:t xml:space="preserve"> leverage</w:t>
      </w:r>
      <w:r w:rsidR="5F312E56" w:rsidRPr="001E66D6">
        <w:rPr>
          <w:rFonts w:ascii="Arial" w:hAnsi="Arial" w:cs="Arial"/>
          <w:sz w:val="18"/>
          <w:szCs w:val="18"/>
        </w:rPr>
        <w:t xml:space="preserve"> reinsurance structure</w:t>
      </w:r>
      <w:r w:rsidR="00491E54" w:rsidRPr="001E66D6">
        <w:rPr>
          <w:rFonts w:ascii="Arial" w:hAnsi="Arial" w:cs="Arial"/>
          <w:sz w:val="18"/>
          <w:szCs w:val="18"/>
        </w:rPr>
        <w:t xml:space="preserve">, </w:t>
      </w:r>
      <w:r w:rsidR="59F32554" w:rsidRPr="001E66D6">
        <w:rPr>
          <w:rFonts w:ascii="Arial" w:hAnsi="Arial" w:cs="Arial"/>
          <w:sz w:val="18"/>
          <w:szCs w:val="18"/>
        </w:rPr>
        <w:t>Lloyd’s will assess the proposal taking into consideration:</w:t>
      </w:r>
      <w:r w:rsidR="00BA7587" w:rsidRPr="001E66D6">
        <w:rPr>
          <w:rFonts w:ascii="Arial" w:hAnsi="Arial" w:cs="Arial"/>
          <w:sz w:val="18"/>
          <w:szCs w:val="18"/>
        </w:rPr>
        <w:t xml:space="preserve"> </w:t>
      </w:r>
    </w:p>
    <w:p w14:paraId="0A3E7AF9" w14:textId="77777777" w:rsidR="00EE1956" w:rsidRPr="001E66D6" w:rsidRDefault="67C62DEC" w:rsidP="00EE1956">
      <w:pPr>
        <w:pStyle w:val="ListParagraph"/>
        <w:numPr>
          <w:ilvl w:val="0"/>
          <w:numId w:val="68"/>
        </w:numPr>
        <w:tabs>
          <w:tab w:val="right" w:pos="5897"/>
        </w:tabs>
        <w:spacing w:line="240" w:lineRule="atLeast"/>
        <w:ind w:left="714" w:hanging="357"/>
        <w:rPr>
          <w:rFonts w:ascii="Arial" w:hAnsi="Arial" w:cs="Arial"/>
          <w:sz w:val="18"/>
          <w:szCs w:val="18"/>
        </w:rPr>
      </w:pPr>
      <w:r w:rsidRPr="001E66D6">
        <w:rPr>
          <w:rFonts w:ascii="Arial" w:eastAsia="Arial" w:hAnsi="Arial" w:cs="Arial"/>
          <w:sz w:val="18"/>
          <w:szCs w:val="18"/>
        </w:rPr>
        <w:t>the structural features and rationale for high leverage and the level of strategic alignment with Lloyd’s objectives;</w:t>
      </w:r>
    </w:p>
    <w:p w14:paraId="18CB3AB2" w14:textId="77777777" w:rsidR="00EE1956" w:rsidRPr="001E66D6" w:rsidRDefault="67C62DEC" w:rsidP="00EE1956">
      <w:pPr>
        <w:pStyle w:val="ListParagraph"/>
        <w:numPr>
          <w:ilvl w:val="0"/>
          <w:numId w:val="68"/>
        </w:numPr>
        <w:tabs>
          <w:tab w:val="right" w:pos="5897"/>
        </w:tabs>
        <w:spacing w:line="240" w:lineRule="atLeast"/>
        <w:ind w:left="714" w:hanging="357"/>
        <w:rPr>
          <w:rFonts w:ascii="Arial" w:hAnsi="Arial" w:cs="Arial"/>
          <w:sz w:val="18"/>
          <w:szCs w:val="18"/>
        </w:rPr>
      </w:pPr>
      <w:r w:rsidRPr="001E66D6">
        <w:rPr>
          <w:rFonts w:ascii="Arial" w:eastAsia="Arial" w:hAnsi="Arial" w:cs="Arial"/>
          <w:sz w:val="18"/>
          <w:szCs w:val="18"/>
        </w:rPr>
        <w:t xml:space="preserve">the extent to which the arrangement is accretive, whether in terms of new business or capital; and, </w:t>
      </w:r>
    </w:p>
    <w:p w14:paraId="29DDF8C6" w14:textId="5575870F" w:rsidR="67C62DEC" w:rsidRPr="001E66D6" w:rsidRDefault="67C62DEC" w:rsidP="00EE1956">
      <w:pPr>
        <w:pStyle w:val="ListParagraph"/>
        <w:numPr>
          <w:ilvl w:val="0"/>
          <w:numId w:val="68"/>
        </w:numPr>
        <w:tabs>
          <w:tab w:val="right" w:pos="5897"/>
        </w:tabs>
        <w:spacing w:line="240" w:lineRule="atLeast"/>
        <w:ind w:left="714" w:hanging="357"/>
        <w:rPr>
          <w:rFonts w:ascii="Arial" w:hAnsi="Arial" w:cs="Arial"/>
          <w:sz w:val="18"/>
          <w:szCs w:val="18"/>
        </w:rPr>
      </w:pPr>
      <w:r w:rsidRPr="001E66D6">
        <w:rPr>
          <w:rFonts w:ascii="Arial" w:eastAsia="Arial" w:hAnsi="Arial" w:cs="Arial"/>
          <w:sz w:val="18"/>
          <w:szCs w:val="18"/>
        </w:rPr>
        <w:t>whether the risks associated with the structure are fully articulated, understood and effectively managed.</w:t>
      </w:r>
    </w:p>
    <w:p w14:paraId="7FC8BC2F" w14:textId="1446A53E" w:rsidR="59106796" w:rsidRPr="001E66D6" w:rsidRDefault="59106796" w:rsidP="59106796">
      <w:pPr>
        <w:tabs>
          <w:tab w:val="right" w:pos="5897"/>
        </w:tabs>
        <w:spacing w:after="240" w:line="240" w:lineRule="atLeast"/>
        <w:rPr>
          <w:rFonts w:ascii="Arial" w:hAnsi="Arial" w:cs="Arial"/>
          <w:sz w:val="18"/>
          <w:szCs w:val="18"/>
        </w:rPr>
      </w:pPr>
    </w:p>
    <w:p w14:paraId="38974BD3" w14:textId="5EEFD46D" w:rsidR="67C62DEC" w:rsidRPr="001E66D6" w:rsidRDefault="67C62DEC" w:rsidP="002966F9">
      <w:pPr>
        <w:tabs>
          <w:tab w:val="right" w:pos="5897"/>
        </w:tabs>
        <w:spacing w:after="240"/>
        <w:ind w:left="45"/>
        <w:rPr>
          <w:rFonts w:ascii="Arial" w:eastAsia="Arial" w:hAnsi="Arial" w:cs="Arial"/>
          <w:sz w:val="18"/>
          <w:szCs w:val="18"/>
        </w:rPr>
      </w:pPr>
      <w:r w:rsidRPr="001E66D6">
        <w:rPr>
          <w:rFonts w:ascii="Arial" w:eastAsia="Arial" w:hAnsi="Arial" w:cs="Arial"/>
          <w:sz w:val="18"/>
          <w:szCs w:val="18"/>
        </w:rPr>
        <w:t>Lloyd’s retains full discretion to approve or decline such arrangements in line with its prudential responsibility for the overall financial stability of the market</w:t>
      </w:r>
      <w:r w:rsidR="00983929" w:rsidRPr="001E66D6">
        <w:rPr>
          <w:rFonts w:ascii="Arial" w:eastAsia="Arial" w:hAnsi="Arial" w:cs="Arial"/>
          <w:sz w:val="18"/>
          <w:szCs w:val="18"/>
        </w:rPr>
        <w:t>, however Lloyd’s seeks to engage in</w:t>
      </w:r>
      <w:r w:rsidRPr="001E66D6">
        <w:rPr>
          <w:rFonts w:ascii="Arial" w:eastAsia="Arial" w:hAnsi="Arial" w:cs="Arial"/>
          <w:sz w:val="18"/>
          <w:szCs w:val="18"/>
        </w:rPr>
        <w:t xml:space="preserve"> constructive </w:t>
      </w:r>
      <w:r w:rsidR="00983929" w:rsidRPr="001E66D6">
        <w:rPr>
          <w:rFonts w:ascii="Arial" w:eastAsia="Arial" w:hAnsi="Arial" w:cs="Arial"/>
          <w:sz w:val="18"/>
          <w:szCs w:val="18"/>
        </w:rPr>
        <w:t>discussion</w:t>
      </w:r>
      <w:r w:rsidRPr="001E66D6">
        <w:rPr>
          <w:rFonts w:ascii="Arial" w:eastAsia="Arial" w:hAnsi="Arial" w:cs="Arial"/>
          <w:sz w:val="18"/>
          <w:szCs w:val="18"/>
        </w:rPr>
        <w:t xml:space="preserve"> regarding the strategic rational</w:t>
      </w:r>
      <w:r w:rsidR="00983929" w:rsidRPr="001E66D6">
        <w:rPr>
          <w:rFonts w:ascii="Arial" w:eastAsia="Arial" w:hAnsi="Arial" w:cs="Arial"/>
          <w:sz w:val="18"/>
          <w:szCs w:val="18"/>
        </w:rPr>
        <w:t>e</w:t>
      </w:r>
      <w:r w:rsidRPr="001E66D6">
        <w:rPr>
          <w:rFonts w:ascii="Arial" w:eastAsia="Arial" w:hAnsi="Arial" w:cs="Arial"/>
          <w:sz w:val="18"/>
          <w:szCs w:val="18"/>
        </w:rPr>
        <w:t xml:space="preserve"> of highly leveraged arrangements.</w:t>
      </w:r>
    </w:p>
    <w:p w14:paraId="1956F605" w14:textId="5627CA1B" w:rsidR="00491E54" w:rsidRPr="001E66D6" w:rsidRDefault="67C62DEC" w:rsidP="59106796">
      <w:pPr>
        <w:tabs>
          <w:tab w:val="right" w:pos="5897"/>
        </w:tabs>
        <w:spacing w:after="240" w:line="240" w:lineRule="atLeast"/>
        <w:rPr>
          <w:rFonts w:ascii="Arial" w:hAnsi="Arial" w:cs="Arial"/>
          <w:sz w:val="18"/>
          <w:szCs w:val="18"/>
        </w:rPr>
      </w:pPr>
      <w:r w:rsidRPr="001E66D6">
        <w:rPr>
          <w:rFonts w:ascii="Arial" w:hAnsi="Arial" w:cs="Arial"/>
          <w:sz w:val="18"/>
          <w:szCs w:val="18"/>
        </w:rPr>
        <w:t xml:space="preserve">Managing agents must obtain </w:t>
      </w:r>
      <w:r w:rsidR="08A315C8" w:rsidRPr="001E66D6">
        <w:rPr>
          <w:rFonts w:ascii="Arial" w:hAnsi="Arial" w:cs="Arial"/>
          <w:sz w:val="18"/>
          <w:szCs w:val="18"/>
        </w:rPr>
        <w:t>p</w:t>
      </w:r>
      <w:r w:rsidR="00491E54" w:rsidRPr="001E66D6">
        <w:rPr>
          <w:rFonts w:ascii="Arial" w:hAnsi="Arial" w:cs="Arial"/>
          <w:sz w:val="18"/>
          <w:szCs w:val="18"/>
        </w:rPr>
        <w:t xml:space="preserve">rior approval </w:t>
      </w:r>
      <w:r w:rsidR="1F630CDC" w:rsidRPr="001E66D6">
        <w:rPr>
          <w:rFonts w:ascii="Arial" w:hAnsi="Arial" w:cs="Arial"/>
          <w:sz w:val="18"/>
          <w:szCs w:val="18"/>
        </w:rPr>
        <w:t>from</w:t>
      </w:r>
      <w:r w:rsidR="00491E54" w:rsidRPr="001E66D6">
        <w:rPr>
          <w:rFonts w:ascii="Arial" w:hAnsi="Arial" w:cs="Arial"/>
          <w:sz w:val="18"/>
          <w:szCs w:val="18"/>
        </w:rPr>
        <w:t xml:space="preserve"> Lloyd’s if:</w:t>
      </w:r>
    </w:p>
    <w:p w14:paraId="11A713C6" w14:textId="56374791" w:rsidR="00491E54" w:rsidRPr="009C3025" w:rsidRDefault="00491E54" w:rsidP="2E839725">
      <w:pPr>
        <w:pStyle w:val="ListParagraph"/>
        <w:numPr>
          <w:ilvl w:val="0"/>
          <w:numId w:val="28"/>
        </w:numPr>
        <w:tabs>
          <w:tab w:val="num" w:pos="85"/>
          <w:tab w:val="num" w:pos="369"/>
          <w:tab w:val="right" w:pos="5897"/>
        </w:tabs>
        <w:spacing w:after="120" w:line="240" w:lineRule="atLeast"/>
        <w:rPr>
          <w:rFonts w:ascii="Arial" w:hAnsi="Arial"/>
          <w:sz w:val="18"/>
          <w:szCs w:val="18"/>
        </w:rPr>
      </w:pPr>
      <w:r w:rsidRPr="2E839725">
        <w:rPr>
          <w:rFonts w:ascii="Arial" w:hAnsi="Arial"/>
          <w:sz w:val="18"/>
          <w:szCs w:val="18"/>
        </w:rPr>
        <w:lastRenderedPageBreak/>
        <w:t xml:space="preserve">A syndicate intends to retain a net minimum amount of exposure for any </w:t>
      </w:r>
      <w:r w:rsidRPr="2E839725">
        <w:rPr>
          <w:rFonts w:ascii="Arial" w:hAnsi="Arial" w:cs="Arial"/>
          <w:sz w:val="18"/>
          <w:szCs w:val="18"/>
        </w:rPr>
        <w:t xml:space="preserve">syndicate class of business </w:t>
      </w:r>
      <w:r w:rsidRPr="2E839725">
        <w:rPr>
          <w:rFonts w:ascii="Arial" w:hAnsi="Arial"/>
          <w:sz w:val="18"/>
          <w:szCs w:val="18"/>
        </w:rPr>
        <w:t xml:space="preserve">it underwrites which is less than 10% of the gross line written. </w:t>
      </w:r>
    </w:p>
    <w:p w14:paraId="51AE4EDF" w14:textId="77777777" w:rsidR="00491E54" w:rsidRPr="00ED13D3" w:rsidRDefault="00491E54" w:rsidP="00ED13D3">
      <w:pPr>
        <w:pStyle w:val="ListParagraph"/>
        <w:numPr>
          <w:ilvl w:val="0"/>
          <w:numId w:val="28"/>
        </w:numPr>
        <w:tabs>
          <w:tab w:val="num" w:pos="369"/>
          <w:tab w:val="right" w:pos="5897"/>
        </w:tabs>
        <w:spacing w:line="240" w:lineRule="atLeast"/>
        <w:rPr>
          <w:rFonts w:ascii="Arial" w:hAnsi="Arial"/>
          <w:sz w:val="18"/>
        </w:rPr>
      </w:pPr>
      <w:r w:rsidRPr="00ED13D3">
        <w:rPr>
          <w:rFonts w:ascii="Arial" w:hAnsi="Arial"/>
          <w:sz w:val="18"/>
        </w:rPr>
        <w:t xml:space="preserve">For current/prospective reinsurance transactions: The total aggregate estimated gross reinsurance premiums (before the deduction of reinsurance commissions): </w:t>
      </w:r>
    </w:p>
    <w:p w14:paraId="2714A6D7" w14:textId="77777777" w:rsidR="00491E54" w:rsidRPr="00491E54" w:rsidRDefault="00491E54" w:rsidP="00491E54">
      <w:pPr>
        <w:tabs>
          <w:tab w:val="right" w:pos="5897"/>
        </w:tabs>
        <w:spacing w:line="240" w:lineRule="atLeast"/>
        <w:ind w:left="1525"/>
        <w:rPr>
          <w:rFonts w:ascii="Arial" w:hAnsi="Arial"/>
          <w:sz w:val="18"/>
        </w:rPr>
      </w:pPr>
    </w:p>
    <w:p w14:paraId="5E515A2C" w14:textId="77777777" w:rsidR="00491E54" w:rsidRPr="00ED13D3" w:rsidRDefault="00491E54" w:rsidP="00ED13D3">
      <w:pPr>
        <w:pStyle w:val="ListParagraph"/>
        <w:numPr>
          <w:ilvl w:val="1"/>
          <w:numId w:val="28"/>
        </w:numPr>
        <w:tabs>
          <w:tab w:val="num" w:pos="426"/>
          <w:tab w:val="num" w:pos="1525"/>
          <w:tab w:val="right" w:pos="5897"/>
        </w:tabs>
        <w:spacing w:after="120" w:line="240" w:lineRule="atLeast"/>
        <w:rPr>
          <w:rFonts w:ascii="Arial" w:hAnsi="Arial"/>
          <w:sz w:val="18"/>
        </w:rPr>
      </w:pPr>
      <w:r w:rsidRPr="00ED13D3">
        <w:rPr>
          <w:rFonts w:ascii="Arial" w:hAnsi="Arial"/>
          <w:sz w:val="18"/>
        </w:rPr>
        <w:t xml:space="preserve">allocated to any single syndicate underwriting year of account (YOA) is planned or expected to exceed 50% of the gross </w:t>
      </w:r>
      <w:proofErr w:type="spellStart"/>
      <w:r w:rsidRPr="00ED13D3">
        <w:rPr>
          <w:rFonts w:ascii="Arial" w:hAnsi="Arial"/>
          <w:sz w:val="18"/>
        </w:rPr>
        <w:t>gross</w:t>
      </w:r>
      <w:proofErr w:type="spellEnd"/>
      <w:r w:rsidRPr="00ED13D3">
        <w:rPr>
          <w:rFonts w:ascii="Arial" w:hAnsi="Arial"/>
          <w:sz w:val="18"/>
        </w:rPr>
        <w:t xml:space="preserve"> written premium for that </w:t>
      </w:r>
      <w:r w:rsidRPr="00ED13D3">
        <w:rPr>
          <w:rFonts w:ascii="Arial" w:hAnsi="Arial" w:cs="Arial"/>
          <w:sz w:val="18"/>
          <w:szCs w:val="18"/>
        </w:rPr>
        <w:t xml:space="preserve">total aggregate </w:t>
      </w:r>
      <w:r w:rsidRPr="00ED13D3">
        <w:rPr>
          <w:rFonts w:ascii="Arial" w:hAnsi="Arial"/>
          <w:sz w:val="18"/>
        </w:rPr>
        <w:t>YOA.</w:t>
      </w:r>
    </w:p>
    <w:p w14:paraId="71FD428B" w14:textId="77777777" w:rsidR="00491E54" w:rsidRPr="00ED13D3" w:rsidRDefault="00491E54" w:rsidP="00ED13D3">
      <w:pPr>
        <w:pStyle w:val="ListParagraph"/>
        <w:numPr>
          <w:ilvl w:val="1"/>
          <w:numId w:val="28"/>
        </w:numPr>
        <w:tabs>
          <w:tab w:val="num" w:pos="880"/>
          <w:tab w:val="num" w:pos="1525"/>
          <w:tab w:val="right" w:pos="5897"/>
          <w:tab w:val="right" w:pos="9582"/>
        </w:tabs>
        <w:spacing w:after="120" w:line="240" w:lineRule="atLeast"/>
        <w:rPr>
          <w:rFonts w:ascii="Arial" w:hAnsi="Arial" w:cs="Arial"/>
          <w:sz w:val="18"/>
          <w:szCs w:val="18"/>
        </w:rPr>
      </w:pPr>
      <w:r w:rsidRPr="00ED13D3">
        <w:rPr>
          <w:rFonts w:ascii="Arial" w:hAnsi="Arial" w:cs="Arial"/>
          <w:sz w:val="18"/>
          <w:szCs w:val="18"/>
        </w:rPr>
        <w:t xml:space="preserve">allocated to any single syndicate class of business in a single syndicate underwriting YOA is planned or expected to exceed 75% of the gross </w:t>
      </w:r>
      <w:proofErr w:type="spellStart"/>
      <w:r w:rsidRPr="00ED13D3">
        <w:rPr>
          <w:rFonts w:ascii="Arial" w:hAnsi="Arial" w:cs="Arial"/>
          <w:sz w:val="18"/>
          <w:szCs w:val="18"/>
        </w:rPr>
        <w:t>gross</w:t>
      </w:r>
      <w:proofErr w:type="spellEnd"/>
      <w:r w:rsidRPr="00ED13D3">
        <w:rPr>
          <w:rFonts w:ascii="Arial" w:hAnsi="Arial" w:cs="Arial"/>
          <w:sz w:val="18"/>
          <w:szCs w:val="18"/>
        </w:rPr>
        <w:t xml:space="preserve"> written premium for that syndicate class of business’s YOA</w:t>
      </w:r>
    </w:p>
    <w:p w14:paraId="1BEEB24E" w14:textId="1081D9AE" w:rsidR="00491E54" w:rsidRPr="00ED13D3" w:rsidRDefault="00491E54" w:rsidP="00ED13D3">
      <w:pPr>
        <w:pStyle w:val="ListParagraph"/>
        <w:numPr>
          <w:ilvl w:val="1"/>
          <w:numId w:val="28"/>
        </w:numPr>
        <w:tabs>
          <w:tab w:val="num" w:pos="426"/>
          <w:tab w:val="num" w:pos="1525"/>
          <w:tab w:val="right" w:pos="5897"/>
        </w:tabs>
        <w:spacing w:after="120" w:line="240" w:lineRule="atLeast"/>
        <w:rPr>
          <w:rFonts w:ascii="Arial" w:hAnsi="Arial"/>
          <w:sz w:val="18"/>
        </w:rPr>
      </w:pPr>
      <w:r w:rsidRPr="00ED13D3">
        <w:rPr>
          <w:rFonts w:ascii="Arial" w:hAnsi="Arial" w:cs="Arial"/>
          <w:sz w:val="18"/>
          <w:szCs w:val="18"/>
        </w:rPr>
        <w:t>that ced</w:t>
      </w:r>
      <w:r w:rsidR="004351E5">
        <w:rPr>
          <w:rFonts w:ascii="Arial" w:hAnsi="Arial" w:cs="Arial"/>
          <w:sz w:val="18"/>
          <w:szCs w:val="18"/>
        </w:rPr>
        <w:t>e</w:t>
      </w:r>
      <w:r w:rsidRPr="00ED13D3">
        <w:rPr>
          <w:rFonts w:ascii="Arial" w:hAnsi="Arial" w:cs="Arial"/>
          <w:sz w:val="18"/>
          <w:szCs w:val="18"/>
        </w:rPr>
        <w:t xml:space="preserve"> more than 90% of GWP for any one risk on a total aggregate basis in a single syndicate underwriting YOA is planned or expected to exceed 5% of the gross </w:t>
      </w:r>
      <w:proofErr w:type="spellStart"/>
      <w:r w:rsidRPr="00ED13D3">
        <w:rPr>
          <w:rFonts w:ascii="Arial" w:hAnsi="Arial" w:cs="Arial"/>
          <w:sz w:val="18"/>
          <w:szCs w:val="18"/>
        </w:rPr>
        <w:t>gross</w:t>
      </w:r>
      <w:proofErr w:type="spellEnd"/>
      <w:r w:rsidRPr="00ED13D3">
        <w:rPr>
          <w:rFonts w:ascii="Arial" w:hAnsi="Arial" w:cs="Arial"/>
          <w:sz w:val="18"/>
          <w:szCs w:val="18"/>
        </w:rPr>
        <w:t xml:space="preserve"> written premium for that total aggregate YOA</w:t>
      </w:r>
    </w:p>
    <w:p w14:paraId="2F3B0BB7" w14:textId="77777777" w:rsidR="00491E54" w:rsidRPr="00B411FB" w:rsidRDefault="00491E54" w:rsidP="59106796">
      <w:pPr>
        <w:tabs>
          <w:tab w:val="right" w:pos="5897"/>
        </w:tabs>
        <w:spacing w:line="240" w:lineRule="atLeast"/>
        <w:ind w:left="85"/>
        <w:rPr>
          <w:rFonts w:ascii="Arial" w:hAnsi="Arial"/>
          <w:strike/>
          <w:sz w:val="18"/>
          <w:szCs w:val="18"/>
        </w:rPr>
      </w:pPr>
    </w:p>
    <w:p w14:paraId="52E1603F" w14:textId="67A84A4B" w:rsidR="00491E54" w:rsidRPr="001E66D6" w:rsidRDefault="7E8A874D" w:rsidP="59106796">
      <w:pPr>
        <w:pStyle w:val="ListParagraph"/>
        <w:numPr>
          <w:ilvl w:val="0"/>
          <w:numId w:val="28"/>
        </w:numPr>
        <w:tabs>
          <w:tab w:val="num" w:pos="369"/>
          <w:tab w:val="right" w:pos="5897"/>
        </w:tabs>
        <w:spacing w:line="240" w:lineRule="atLeast"/>
        <w:rPr>
          <w:rFonts w:ascii="Arial" w:hAnsi="Arial"/>
          <w:sz w:val="18"/>
          <w:szCs w:val="18"/>
        </w:rPr>
      </w:pPr>
      <w:r w:rsidRPr="001E66D6">
        <w:rPr>
          <w:rFonts w:ascii="Arial" w:hAnsi="Arial"/>
          <w:sz w:val="18"/>
          <w:szCs w:val="18"/>
        </w:rPr>
        <w:t>The syndicate plans to execute any legacy or retrospective reinsurance transactions</w:t>
      </w:r>
      <w:r w:rsidR="5363A520" w:rsidRPr="001E66D6">
        <w:rPr>
          <w:rFonts w:ascii="Arial" w:hAnsi="Arial"/>
          <w:sz w:val="18"/>
          <w:szCs w:val="18"/>
        </w:rPr>
        <w:t xml:space="preserve">, including RITC to third party syndicates.  Managing agents should refer to the </w:t>
      </w:r>
      <w:hyperlink r:id="rId14" w:history="1">
        <w:r w:rsidR="5363A520" w:rsidRPr="001E66D6">
          <w:rPr>
            <w:rStyle w:val="Hyperlink"/>
            <w:rFonts w:ascii="Arial" w:hAnsi="Arial"/>
            <w:color w:val="0033CC"/>
            <w:sz w:val="18"/>
            <w:szCs w:val="18"/>
          </w:rPr>
          <w:t>Legacy Reinsurance Guidance</w:t>
        </w:r>
      </w:hyperlink>
      <w:r w:rsidR="5363A520" w:rsidRPr="001E66D6">
        <w:rPr>
          <w:rFonts w:ascii="Arial" w:hAnsi="Arial"/>
          <w:sz w:val="18"/>
          <w:szCs w:val="18"/>
        </w:rPr>
        <w:t xml:space="preserve"> / Instructions for more information</w:t>
      </w:r>
      <w:r w:rsidRPr="001E66D6">
        <w:rPr>
          <w:rFonts w:ascii="Arial" w:hAnsi="Arial"/>
          <w:sz w:val="18"/>
          <w:szCs w:val="18"/>
        </w:rPr>
        <w:t>.</w:t>
      </w:r>
    </w:p>
    <w:p w14:paraId="3D5D2D30" w14:textId="77777777" w:rsidR="00491E54" w:rsidRPr="001E66D6" w:rsidRDefault="00491E54" w:rsidP="00491E54">
      <w:pPr>
        <w:tabs>
          <w:tab w:val="right" w:pos="5897"/>
        </w:tabs>
        <w:spacing w:line="240" w:lineRule="atLeast"/>
        <w:rPr>
          <w:rFonts w:ascii="Arial" w:hAnsi="Arial" w:cs="Arial"/>
          <w:bCs/>
          <w:sz w:val="18"/>
          <w:szCs w:val="18"/>
        </w:rPr>
      </w:pPr>
    </w:p>
    <w:p w14:paraId="3A9B5D3C" w14:textId="77777777" w:rsidR="00491E54" w:rsidRPr="001E66D6" w:rsidRDefault="00491E54" w:rsidP="00491E54">
      <w:pPr>
        <w:tabs>
          <w:tab w:val="right" w:pos="5897"/>
        </w:tabs>
        <w:spacing w:after="240" w:line="240" w:lineRule="atLeast"/>
        <w:rPr>
          <w:rFonts w:ascii="Arial" w:hAnsi="Arial" w:cs="Arial"/>
          <w:bCs/>
          <w:sz w:val="18"/>
          <w:szCs w:val="18"/>
        </w:rPr>
      </w:pPr>
      <w:r w:rsidRPr="001E66D6">
        <w:rPr>
          <w:rFonts w:ascii="Arial" w:hAnsi="Arial" w:cs="Arial"/>
          <w:bCs/>
          <w:sz w:val="18"/>
          <w:szCs w:val="18"/>
        </w:rPr>
        <w:t>If any of the above thresholds are crossed as a result of an unexpected change, or if there is a material increase to a previously notified position, then the managing agent should notify Lloyd’s at an early stage.</w:t>
      </w:r>
    </w:p>
    <w:p w14:paraId="7554959E" w14:textId="77777777" w:rsidR="00491E54" w:rsidRPr="00491E54" w:rsidRDefault="00491E54" w:rsidP="007B1F1D">
      <w:pPr>
        <w:keepNext/>
        <w:tabs>
          <w:tab w:val="right" w:pos="5897"/>
        </w:tabs>
        <w:spacing w:line="240" w:lineRule="atLeast"/>
        <w:ind w:left="720"/>
        <w:rPr>
          <w:rFonts w:ascii="Arial" w:hAnsi="Arial" w:cs="Arial"/>
          <w:b/>
          <w:sz w:val="18"/>
          <w:szCs w:val="18"/>
          <w:u w:val="single"/>
        </w:rPr>
      </w:pPr>
      <w:r w:rsidRPr="00491E54">
        <w:rPr>
          <w:rFonts w:ascii="Arial" w:hAnsi="Arial" w:cs="Arial"/>
          <w:b/>
          <w:sz w:val="18"/>
          <w:szCs w:val="18"/>
          <w:u w:val="single"/>
        </w:rPr>
        <w:t>Guidance</w:t>
      </w:r>
    </w:p>
    <w:p w14:paraId="48FCD1E6" w14:textId="77777777" w:rsidR="00491E54" w:rsidRPr="00491E54" w:rsidRDefault="00491E54" w:rsidP="00491E54">
      <w:pPr>
        <w:keepNext/>
        <w:tabs>
          <w:tab w:val="right" w:pos="5897"/>
        </w:tabs>
        <w:spacing w:line="240" w:lineRule="atLeast"/>
        <w:rPr>
          <w:rFonts w:ascii="Arial" w:hAnsi="Arial" w:cs="Arial"/>
          <w:b/>
          <w:sz w:val="18"/>
          <w:szCs w:val="18"/>
        </w:rPr>
      </w:pPr>
    </w:p>
    <w:p w14:paraId="260D3601" w14:textId="5DC831A6" w:rsidR="00491E54" w:rsidRPr="006E4D10" w:rsidRDefault="11837DDE" w:rsidP="59106796">
      <w:pPr>
        <w:tabs>
          <w:tab w:val="right" w:pos="5897"/>
        </w:tabs>
        <w:spacing w:after="240" w:line="240" w:lineRule="atLeast"/>
        <w:rPr>
          <w:rFonts w:ascii="Arial" w:hAnsi="Arial" w:cs="Arial"/>
          <w:sz w:val="18"/>
          <w:szCs w:val="18"/>
        </w:rPr>
      </w:pPr>
      <w:r w:rsidRPr="59106796">
        <w:rPr>
          <w:rFonts w:ascii="Arial" w:hAnsi="Arial" w:cs="Arial"/>
          <w:sz w:val="18"/>
          <w:szCs w:val="18"/>
        </w:rPr>
        <w:t xml:space="preserve">In reviewing a proposal, </w:t>
      </w:r>
      <w:r w:rsidR="00491E54" w:rsidRPr="59106796">
        <w:rPr>
          <w:rFonts w:ascii="Arial" w:hAnsi="Arial" w:cs="Arial"/>
          <w:sz w:val="18"/>
          <w:szCs w:val="18"/>
        </w:rPr>
        <w:t>Lloyd’s will</w:t>
      </w:r>
      <w:r w:rsidR="598280FE" w:rsidRPr="59106796">
        <w:rPr>
          <w:rFonts w:ascii="Arial" w:hAnsi="Arial" w:cs="Arial"/>
          <w:sz w:val="18"/>
          <w:szCs w:val="18"/>
        </w:rPr>
        <w:t xml:space="preserve"> consider both</w:t>
      </w:r>
      <w:r w:rsidR="00491E54" w:rsidRPr="59106796">
        <w:rPr>
          <w:rFonts w:ascii="Arial" w:hAnsi="Arial" w:cs="Arial"/>
          <w:sz w:val="18"/>
          <w:szCs w:val="18"/>
        </w:rPr>
        <w:t xml:space="preserve"> the business justifications and benefits</w:t>
      </w:r>
      <w:r w:rsidR="7FCE7AB0" w:rsidRPr="59106796">
        <w:rPr>
          <w:rFonts w:ascii="Arial" w:hAnsi="Arial" w:cs="Arial"/>
          <w:sz w:val="18"/>
          <w:szCs w:val="18"/>
        </w:rPr>
        <w:t>, and</w:t>
      </w:r>
      <w:r w:rsidR="00491E54" w:rsidRPr="59106796">
        <w:rPr>
          <w:rFonts w:ascii="Arial" w:hAnsi="Arial" w:cs="Arial"/>
          <w:sz w:val="18"/>
          <w:szCs w:val="18"/>
        </w:rPr>
        <w:t xml:space="preserve"> the risks  and </w:t>
      </w:r>
      <w:r w:rsidR="76F84B09" w:rsidRPr="59106796">
        <w:rPr>
          <w:rFonts w:ascii="Arial" w:hAnsi="Arial" w:cs="Arial"/>
          <w:sz w:val="18"/>
          <w:szCs w:val="18"/>
        </w:rPr>
        <w:t xml:space="preserve">available </w:t>
      </w:r>
      <w:r w:rsidR="00491E54" w:rsidRPr="59106796">
        <w:rPr>
          <w:rFonts w:ascii="Arial" w:hAnsi="Arial" w:cs="Arial"/>
          <w:sz w:val="18"/>
          <w:szCs w:val="18"/>
        </w:rPr>
        <w:t xml:space="preserve">risk </w:t>
      </w:r>
      <w:r w:rsidR="00491E54" w:rsidRPr="006E4D10">
        <w:rPr>
          <w:rFonts w:ascii="Arial" w:hAnsi="Arial" w:cs="Arial"/>
          <w:sz w:val="18"/>
          <w:szCs w:val="18"/>
        </w:rPr>
        <w:t>mitigation</w:t>
      </w:r>
      <w:r w:rsidR="37EB41B4" w:rsidRPr="006E4D10">
        <w:rPr>
          <w:rFonts w:ascii="Arial" w:hAnsi="Arial" w:cs="Arial"/>
          <w:sz w:val="18"/>
          <w:szCs w:val="18"/>
        </w:rPr>
        <w:t>s</w:t>
      </w:r>
      <w:r w:rsidR="00491E54" w:rsidRPr="006E4D10">
        <w:rPr>
          <w:rFonts w:ascii="Arial" w:hAnsi="Arial" w:cs="Arial"/>
          <w:sz w:val="18"/>
          <w:szCs w:val="18"/>
        </w:rPr>
        <w:t xml:space="preserve">, </w:t>
      </w:r>
      <w:r w:rsidR="613AB09E" w:rsidRPr="006E4D10">
        <w:rPr>
          <w:rFonts w:ascii="Arial" w:hAnsi="Arial" w:cs="Arial"/>
          <w:sz w:val="18"/>
          <w:szCs w:val="18"/>
        </w:rPr>
        <w:t>while recognising</w:t>
      </w:r>
      <w:r w:rsidR="00491E54" w:rsidRPr="006E4D10">
        <w:rPr>
          <w:rFonts w:ascii="Arial" w:hAnsi="Arial" w:cs="Arial"/>
          <w:sz w:val="18"/>
          <w:szCs w:val="18"/>
        </w:rPr>
        <w:t xml:space="preserve"> that risk</w:t>
      </w:r>
      <w:r w:rsidR="7CF33FA0" w:rsidRPr="006E4D10">
        <w:rPr>
          <w:rFonts w:ascii="Arial" w:hAnsi="Arial" w:cs="Arial"/>
          <w:sz w:val="18"/>
          <w:szCs w:val="18"/>
        </w:rPr>
        <w:t>s are</w:t>
      </w:r>
      <w:r w:rsidR="00491E54" w:rsidRPr="006E4D10">
        <w:rPr>
          <w:rFonts w:ascii="Arial" w:hAnsi="Arial" w:cs="Arial"/>
          <w:sz w:val="18"/>
          <w:szCs w:val="18"/>
        </w:rPr>
        <w:t xml:space="preserve"> reduced where syndicates:</w:t>
      </w:r>
    </w:p>
    <w:p w14:paraId="63DD88D9" w14:textId="77777777" w:rsidR="00491E54" w:rsidRPr="006E4D10" w:rsidRDefault="00491E54" w:rsidP="009C3025">
      <w:pPr>
        <w:pStyle w:val="ListParagraph"/>
        <w:numPr>
          <w:ilvl w:val="0"/>
          <w:numId w:val="29"/>
        </w:numPr>
        <w:tabs>
          <w:tab w:val="num" w:pos="426"/>
          <w:tab w:val="right" w:pos="9582"/>
        </w:tabs>
        <w:spacing w:line="240" w:lineRule="atLeast"/>
        <w:rPr>
          <w:rFonts w:ascii="Arial" w:hAnsi="Arial"/>
          <w:sz w:val="18"/>
          <w:szCs w:val="18"/>
        </w:rPr>
      </w:pPr>
      <w:r w:rsidRPr="006E4D10">
        <w:rPr>
          <w:rFonts w:ascii="Arial" w:hAnsi="Arial"/>
          <w:sz w:val="18"/>
          <w:szCs w:val="18"/>
        </w:rPr>
        <w:t xml:space="preserve">keep a meaningful underwriting interest in the risks they write </w:t>
      </w:r>
    </w:p>
    <w:p w14:paraId="44D7C76C" w14:textId="77777777" w:rsidR="00491E54" w:rsidRPr="006E4D10" w:rsidRDefault="00491E54" w:rsidP="009C3025">
      <w:pPr>
        <w:pStyle w:val="ListParagraph"/>
        <w:numPr>
          <w:ilvl w:val="0"/>
          <w:numId w:val="29"/>
        </w:numPr>
        <w:tabs>
          <w:tab w:val="num" w:pos="426"/>
          <w:tab w:val="right" w:pos="9582"/>
        </w:tabs>
        <w:spacing w:line="240" w:lineRule="atLeast"/>
        <w:rPr>
          <w:rFonts w:ascii="Arial" w:hAnsi="Arial"/>
          <w:sz w:val="18"/>
          <w:szCs w:val="18"/>
        </w:rPr>
      </w:pPr>
      <w:r w:rsidRPr="006E4D10">
        <w:rPr>
          <w:rFonts w:ascii="Arial" w:hAnsi="Arial"/>
          <w:sz w:val="18"/>
          <w:szCs w:val="18"/>
        </w:rPr>
        <w:t>avoid excessive financial dependency on reinsurance counterparties</w:t>
      </w:r>
    </w:p>
    <w:p w14:paraId="250A44DD" w14:textId="21FF076C" w:rsidR="00491E54" w:rsidRPr="006E4D10" w:rsidRDefault="00491E54" w:rsidP="009C3025">
      <w:pPr>
        <w:pStyle w:val="ListParagraph"/>
        <w:numPr>
          <w:ilvl w:val="0"/>
          <w:numId w:val="29"/>
        </w:numPr>
        <w:tabs>
          <w:tab w:val="num" w:pos="426"/>
          <w:tab w:val="right" w:pos="9582"/>
        </w:tabs>
        <w:spacing w:line="240" w:lineRule="atLeast"/>
        <w:rPr>
          <w:rFonts w:ascii="Arial" w:hAnsi="Arial"/>
          <w:sz w:val="18"/>
          <w:szCs w:val="18"/>
        </w:rPr>
      </w:pPr>
      <w:r w:rsidRPr="006E4D10">
        <w:rPr>
          <w:rFonts w:ascii="Arial" w:hAnsi="Arial"/>
          <w:sz w:val="18"/>
          <w:szCs w:val="18"/>
        </w:rPr>
        <w:t xml:space="preserve">use reinsurance to </w:t>
      </w:r>
      <w:r w:rsidR="4CCD36C1" w:rsidRPr="006E4D10">
        <w:rPr>
          <w:rFonts w:ascii="Arial" w:hAnsi="Arial"/>
          <w:sz w:val="18"/>
          <w:szCs w:val="18"/>
        </w:rPr>
        <w:t>support</w:t>
      </w:r>
      <w:r w:rsidR="00B32D4C" w:rsidRPr="006E4D10">
        <w:rPr>
          <w:rFonts w:ascii="Arial" w:hAnsi="Arial"/>
          <w:sz w:val="18"/>
          <w:szCs w:val="18"/>
        </w:rPr>
        <w:t xml:space="preserve"> </w:t>
      </w:r>
      <w:r w:rsidRPr="006E4D10">
        <w:rPr>
          <w:rFonts w:ascii="Arial" w:hAnsi="Arial"/>
          <w:sz w:val="18"/>
          <w:szCs w:val="18"/>
        </w:rPr>
        <w:t>a sustainabl</w:t>
      </w:r>
      <w:r w:rsidR="0466C62F" w:rsidRPr="006E4D10">
        <w:rPr>
          <w:rFonts w:ascii="Arial" w:hAnsi="Arial"/>
          <w:sz w:val="18"/>
          <w:szCs w:val="18"/>
        </w:rPr>
        <w:t>y</w:t>
      </w:r>
      <w:r w:rsidRPr="006E4D10">
        <w:rPr>
          <w:rFonts w:ascii="Arial" w:hAnsi="Arial"/>
          <w:sz w:val="18"/>
          <w:szCs w:val="18"/>
        </w:rPr>
        <w:t xml:space="preserve"> profit</w:t>
      </w:r>
      <w:r w:rsidR="2088DC93" w:rsidRPr="006E4D10">
        <w:rPr>
          <w:rFonts w:ascii="Arial" w:hAnsi="Arial"/>
          <w:sz w:val="18"/>
          <w:szCs w:val="18"/>
        </w:rPr>
        <w:t>able business rather than</w:t>
      </w:r>
      <w:r w:rsidRPr="006E4D10">
        <w:rPr>
          <w:rFonts w:ascii="Arial" w:hAnsi="Arial"/>
          <w:sz w:val="18"/>
          <w:szCs w:val="18"/>
        </w:rPr>
        <w:t xml:space="preserve"> solely </w:t>
      </w:r>
      <w:r w:rsidR="1E2A3373" w:rsidRPr="006E4D10">
        <w:rPr>
          <w:rFonts w:ascii="Arial" w:hAnsi="Arial"/>
          <w:sz w:val="18"/>
          <w:szCs w:val="18"/>
        </w:rPr>
        <w:t>for</w:t>
      </w:r>
      <w:r w:rsidR="00B32D4C" w:rsidRPr="006E4D10">
        <w:rPr>
          <w:rFonts w:ascii="Arial" w:hAnsi="Arial"/>
          <w:sz w:val="18"/>
          <w:szCs w:val="18"/>
        </w:rPr>
        <w:t xml:space="preserve"> </w:t>
      </w:r>
      <w:r w:rsidRPr="006E4D10">
        <w:rPr>
          <w:rFonts w:ascii="Arial" w:hAnsi="Arial"/>
          <w:sz w:val="18"/>
          <w:szCs w:val="18"/>
        </w:rPr>
        <w:t>arbitrage.</w:t>
      </w:r>
    </w:p>
    <w:p w14:paraId="1600A8D5" w14:textId="77777777" w:rsidR="00491E54" w:rsidRPr="006E4D10" w:rsidRDefault="00491E54" w:rsidP="00491E54">
      <w:pPr>
        <w:tabs>
          <w:tab w:val="num" w:pos="596"/>
          <w:tab w:val="right" w:pos="9582"/>
        </w:tabs>
        <w:spacing w:line="240" w:lineRule="atLeast"/>
        <w:ind w:left="142"/>
        <w:rPr>
          <w:rFonts w:ascii="Arial" w:hAnsi="Arial"/>
          <w:sz w:val="18"/>
          <w:szCs w:val="18"/>
        </w:rPr>
      </w:pPr>
    </w:p>
    <w:p w14:paraId="32599EFD" w14:textId="36374A98" w:rsidR="00491E54" w:rsidRPr="006E4D10" w:rsidRDefault="53E57836" w:rsidP="59106796">
      <w:pPr>
        <w:tabs>
          <w:tab w:val="right" w:pos="5897"/>
        </w:tabs>
        <w:spacing w:after="240" w:line="240" w:lineRule="atLeast"/>
        <w:rPr>
          <w:rFonts w:ascii="Arial" w:hAnsi="Arial" w:cs="Arial"/>
          <w:sz w:val="18"/>
          <w:szCs w:val="18"/>
        </w:rPr>
      </w:pPr>
      <w:r w:rsidRPr="006E4D10">
        <w:rPr>
          <w:rFonts w:ascii="Arial" w:hAnsi="Arial" w:cs="Arial"/>
          <w:sz w:val="18"/>
          <w:szCs w:val="18"/>
        </w:rPr>
        <w:t>For items</w:t>
      </w:r>
      <w:r w:rsidR="00491E54" w:rsidRPr="006E4D10">
        <w:rPr>
          <w:rFonts w:ascii="Arial" w:hAnsi="Arial" w:cs="Arial"/>
          <w:sz w:val="18"/>
          <w:szCs w:val="18"/>
        </w:rPr>
        <w:t xml:space="preserve"> 1 and 2</w:t>
      </w:r>
      <w:r w:rsidR="3170891B" w:rsidRPr="006E4D10">
        <w:rPr>
          <w:rFonts w:ascii="Arial" w:hAnsi="Arial" w:cs="Arial"/>
          <w:sz w:val="18"/>
          <w:szCs w:val="18"/>
        </w:rPr>
        <w:t>,</w:t>
      </w:r>
      <w:r w:rsidR="00491E54" w:rsidRPr="006E4D10">
        <w:rPr>
          <w:rFonts w:ascii="Arial" w:hAnsi="Arial" w:cs="Arial"/>
          <w:sz w:val="18"/>
          <w:szCs w:val="18"/>
        </w:rPr>
        <w:t xml:space="preserve"> </w:t>
      </w:r>
      <w:r w:rsidR="1E2AB2BD" w:rsidRPr="006E4D10">
        <w:rPr>
          <w:rFonts w:ascii="Arial" w:hAnsi="Arial" w:cs="Arial"/>
          <w:sz w:val="18"/>
          <w:szCs w:val="18"/>
        </w:rPr>
        <w:t xml:space="preserve">requests for approval </w:t>
      </w:r>
      <w:r w:rsidR="00491E54" w:rsidRPr="006E4D10">
        <w:rPr>
          <w:rFonts w:ascii="Arial" w:hAnsi="Arial" w:cs="Arial"/>
          <w:sz w:val="18"/>
          <w:szCs w:val="18"/>
        </w:rPr>
        <w:t xml:space="preserve">should be </w:t>
      </w:r>
      <w:r w:rsidR="054712A0" w:rsidRPr="006E4D10">
        <w:rPr>
          <w:rFonts w:ascii="Arial" w:hAnsi="Arial" w:cs="Arial"/>
          <w:sz w:val="18"/>
          <w:szCs w:val="18"/>
        </w:rPr>
        <w:t>directed</w:t>
      </w:r>
      <w:r w:rsidR="00491E54" w:rsidRPr="006E4D10">
        <w:rPr>
          <w:rFonts w:ascii="Arial" w:hAnsi="Arial" w:cs="Arial"/>
          <w:sz w:val="18"/>
          <w:szCs w:val="18"/>
        </w:rPr>
        <w:t xml:space="preserve"> to the Syndicate Performance or </w:t>
      </w:r>
      <w:r w:rsidR="1FC8AE95" w:rsidRPr="006E4D10">
        <w:rPr>
          <w:rFonts w:ascii="Arial" w:hAnsi="Arial" w:cs="Arial"/>
          <w:sz w:val="18"/>
          <w:szCs w:val="18"/>
        </w:rPr>
        <w:t>Market Oversight</w:t>
      </w:r>
      <w:r w:rsidR="00467A7B" w:rsidRPr="006E4D10">
        <w:rPr>
          <w:rFonts w:ascii="Arial" w:hAnsi="Arial" w:cs="Arial"/>
          <w:sz w:val="18"/>
          <w:szCs w:val="18"/>
        </w:rPr>
        <w:t xml:space="preserve"> </w:t>
      </w:r>
      <w:r w:rsidR="00491E54" w:rsidRPr="006E4D10">
        <w:rPr>
          <w:rFonts w:ascii="Arial" w:hAnsi="Arial" w:cs="Arial"/>
          <w:sz w:val="18"/>
          <w:szCs w:val="18"/>
        </w:rPr>
        <w:t>Management teams.</w:t>
      </w:r>
      <w:r w:rsidR="7CE90D84" w:rsidRPr="006E4D10">
        <w:rPr>
          <w:rFonts w:ascii="Arial" w:hAnsi="Arial" w:cs="Arial"/>
          <w:sz w:val="18"/>
          <w:szCs w:val="18"/>
        </w:rPr>
        <w:t xml:space="preserve"> Item 3 should be directed to the</w:t>
      </w:r>
      <w:r w:rsidR="006E4D10" w:rsidRPr="006E4D10">
        <w:rPr>
          <w:rFonts w:ascii="Arial" w:hAnsi="Arial" w:cs="Arial"/>
          <w:sz w:val="18"/>
          <w:szCs w:val="18"/>
        </w:rPr>
        <w:t xml:space="preserve"> </w:t>
      </w:r>
      <w:r w:rsidR="002D7CC3" w:rsidRPr="006E4D10">
        <w:rPr>
          <w:rFonts w:ascii="Arial" w:hAnsi="Arial" w:cs="Arial"/>
          <w:sz w:val="18"/>
          <w:szCs w:val="18"/>
        </w:rPr>
        <w:t>Legacy Manager</w:t>
      </w:r>
      <w:r w:rsidR="7CE90D84" w:rsidRPr="006E4D10">
        <w:rPr>
          <w:rFonts w:ascii="Arial" w:hAnsi="Arial" w:cs="Arial"/>
          <w:sz w:val="18"/>
          <w:szCs w:val="18"/>
        </w:rPr>
        <w:t>.</w:t>
      </w:r>
    </w:p>
    <w:p w14:paraId="17EBCF4E" w14:textId="0BCE24C0" w:rsidR="00491E54" w:rsidRPr="006E4D10" w:rsidRDefault="00A42531" w:rsidP="59106796">
      <w:pPr>
        <w:tabs>
          <w:tab w:val="right" w:pos="5897"/>
        </w:tabs>
        <w:spacing w:after="240" w:line="240" w:lineRule="atLeast"/>
        <w:rPr>
          <w:rFonts w:ascii="Arial" w:hAnsi="Arial" w:cs="Arial"/>
          <w:sz w:val="18"/>
          <w:szCs w:val="18"/>
        </w:rPr>
      </w:pPr>
      <w:r w:rsidRPr="006E4D10">
        <w:rPr>
          <w:rFonts w:ascii="Arial" w:hAnsi="Arial" w:cs="Arial"/>
          <w:sz w:val="18"/>
          <w:szCs w:val="18"/>
        </w:rPr>
        <w:t xml:space="preserve">Managing </w:t>
      </w:r>
      <w:r w:rsidR="00491E54" w:rsidRPr="006E4D10">
        <w:rPr>
          <w:rFonts w:ascii="Arial" w:hAnsi="Arial" w:cs="Arial"/>
          <w:sz w:val="18"/>
          <w:szCs w:val="18"/>
        </w:rPr>
        <w:t>agents should engage with their Lloyd’s Outwards Reinsurance Manager as soon as they become aware of a</w:t>
      </w:r>
      <w:r w:rsidR="0BD1CF4B" w:rsidRPr="006E4D10">
        <w:rPr>
          <w:rFonts w:ascii="Arial" w:hAnsi="Arial" w:cs="Arial"/>
          <w:sz w:val="18"/>
          <w:szCs w:val="18"/>
        </w:rPr>
        <w:t>ny</w:t>
      </w:r>
      <w:r w:rsidR="00491E54" w:rsidRPr="006E4D10">
        <w:rPr>
          <w:rFonts w:ascii="Arial" w:hAnsi="Arial" w:cs="Arial"/>
          <w:sz w:val="18"/>
          <w:szCs w:val="18"/>
        </w:rPr>
        <w:t xml:space="preserve"> potential</w:t>
      </w:r>
      <w:r w:rsidR="47EF98EC" w:rsidRPr="006E4D10">
        <w:rPr>
          <w:rFonts w:ascii="Arial" w:hAnsi="Arial" w:cs="Arial"/>
          <w:sz w:val="18"/>
          <w:szCs w:val="18"/>
        </w:rPr>
        <w:t xml:space="preserve"> threshold</w:t>
      </w:r>
      <w:r w:rsidR="00491E54" w:rsidRPr="006E4D10">
        <w:rPr>
          <w:rFonts w:ascii="Arial" w:hAnsi="Arial" w:cs="Arial"/>
          <w:sz w:val="18"/>
          <w:szCs w:val="18"/>
        </w:rPr>
        <w:t xml:space="preserve"> trigge</w:t>
      </w:r>
      <w:r w:rsidR="006E4D10" w:rsidRPr="006E4D10">
        <w:rPr>
          <w:rFonts w:ascii="Arial" w:hAnsi="Arial" w:cs="Arial"/>
          <w:sz w:val="18"/>
          <w:szCs w:val="18"/>
        </w:rPr>
        <w:t>r.</w:t>
      </w:r>
    </w:p>
    <w:p w14:paraId="4C7CB096" w14:textId="1854F618" w:rsidR="00491E54" w:rsidRPr="006E4D10" w:rsidRDefault="00491E54" w:rsidP="59106796">
      <w:pPr>
        <w:tabs>
          <w:tab w:val="right" w:pos="5897"/>
        </w:tabs>
        <w:spacing w:after="240" w:line="240" w:lineRule="atLeast"/>
        <w:rPr>
          <w:rFonts w:ascii="Arial" w:hAnsi="Arial" w:cs="Arial"/>
          <w:sz w:val="18"/>
          <w:szCs w:val="18"/>
        </w:rPr>
      </w:pPr>
      <w:r w:rsidRPr="006E4D10">
        <w:rPr>
          <w:rFonts w:ascii="Arial" w:hAnsi="Arial" w:cs="Arial"/>
          <w:sz w:val="18"/>
          <w:szCs w:val="18"/>
        </w:rPr>
        <w:t>Managing agent submissions of SBF</w:t>
      </w:r>
      <w:r w:rsidR="2CA3AFD2" w:rsidRPr="006E4D10">
        <w:rPr>
          <w:rFonts w:ascii="Arial" w:hAnsi="Arial" w:cs="Arial"/>
          <w:sz w:val="18"/>
          <w:szCs w:val="18"/>
        </w:rPr>
        <w:t xml:space="preserve"> </w:t>
      </w:r>
      <w:r w:rsidRPr="006E4D10">
        <w:rPr>
          <w:rFonts w:ascii="Arial" w:hAnsi="Arial" w:cs="Arial"/>
          <w:sz w:val="18"/>
          <w:szCs w:val="18"/>
        </w:rPr>
        <w:t>s</w:t>
      </w:r>
      <w:r w:rsidR="1A396CE9" w:rsidRPr="006E4D10">
        <w:rPr>
          <w:rFonts w:ascii="Arial" w:hAnsi="Arial" w:cs="Arial"/>
          <w:sz w:val="18"/>
          <w:szCs w:val="18"/>
        </w:rPr>
        <w:t>ubmissions</w:t>
      </w:r>
      <w:r w:rsidRPr="006E4D10">
        <w:rPr>
          <w:rFonts w:ascii="Arial" w:hAnsi="Arial" w:cs="Arial"/>
          <w:sz w:val="18"/>
          <w:szCs w:val="18"/>
        </w:rPr>
        <w:t xml:space="preserve"> </w:t>
      </w:r>
      <w:r w:rsidR="1D9B96D9" w:rsidRPr="006E4D10">
        <w:rPr>
          <w:rFonts w:ascii="Arial" w:hAnsi="Arial" w:cs="Arial"/>
          <w:sz w:val="18"/>
          <w:szCs w:val="18"/>
        </w:rPr>
        <w:t xml:space="preserve">provide </w:t>
      </w:r>
      <w:r w:rsidRPr="006E4D10">
        <w:rPr>
          <w:rFonts w:ascii="Arial" w:hAnsi="Arial" w:cs="Arial"/>
          <w:sz w:val="18"/>
          <w:szCs w:val="18"/>
        </w:rPr>
        <w:t>a natural opportunity to notify</w:t>
      </w:r>
      <w:r w:rsidR="065F78D5" w:rsidRPr="006E4D10">
        <w:rPr>
          <w:rFonts w:ascii="Arial" w:hAnsi="Arial" w:cs="Arial"/>
          <w:sz w:val="18"/>
          <w:szCs w:val="18"/>
        </w:rPr>
        <w:t xml:space="preserve"> or discuss such</w:t>
      </w:r>
      <w:r w:rsidRPr="006E4D10">
        <w:rPr>
          <w:rFonts w:ascii="Arial" w:hAnsi="Arial" w:cs="Arial"/>
          <w:sz w:val="18"/>
          <w:szCs w:val="18"/>
        </w:rPr>
        <w:t xml:space="preserve"> proposals. </w:t>
      </w:r>
    </w:p>
    <w:p w14:paraId="668F4EBF" w14:textId="5AEB45DF" w:rsidR="00491E54" w:rsidRPr="006E4D10" w:rsidRDefault="00491E54" w:rsidP="59106796">
      <w:pPr>
        <w:keepNext/>
        <w:tabs>
          <w:tab w:val="right" w:pos="5897"/>
        </w:tabs>
        <w:spacing w:after="240" w:line="240" w:lineRule="atLeast"/>
        <w:rPr>
          <w:rFonts w:ascii="Arial" w:hAnsi="Arial" w:cs="Arial"/>
          <w:sz w:val="18"/>
          <w:szCs w:val="18"/>
        </w:rPr>
      </w:pPr>
      <w:r w:rsidRPr="006E4D10">
        <w:rPr>
          <w:rFonts w:ascii="Arial" w:hAnsi="Arial" w:cs="Arial"/>
          <w:sz w:val="18"/>
          <w:szCs w:val="18"/>
        </w:rPr>
        <w:t xml:space="preserve">The following information should accompany any request or notification as set out </w:t>
      </w:r>
      <w:r w:rsidR="17C0B0F9" w:rsidRPr="006E4D10">
        <w:rPr>
          <w:rFonts w:ascii="Arial" w:hAnsi="Arial" w:cs="Arial"/>
          <w:sz w:val="18"/>
          <w:szCs w:val="18"/>
        </w:rPr>
        <w:t xml:space="preserve">in the items </w:t>
      </w:r>
      <w:r w:rsidRPr="006E4D10">
        <w:rPr>
          <w:rFonts w:ascii="Arial" w:hAnsi="Arial" w:cs="Arial"/>
          <w:sz w:val="18"/>
          <w:szCs w:val="18"/>
        </w:rPr>
        <w:t>above:</w:t>
      </w:r>
    </w:p>
    <w:p w14:paraId="22CCD094" w14:textId="77777777" w:rsidR="00491E54" w:rsidRPr="006E4D10" w:rsidRDefault="00491E54" w:rsidP="009C3025">
      <w:pPr>
        <w:pStyle w:val="ListParagraph"/>
        <w:keepNext/>
        <w:numPr>
          <w:ilvl w:val="0"/>
          <w:numId w:val="30"/>
        </w:numPr>
        <w:tabs>
          <w:tab w:val="num" w:pos="426"/>
          <w:tab w:val="right" w:pos="9582"/>
        </w:tabs>
        <w:spacing w:line="240" w:lineRule="atLeast"/>
        <w:rPr>
          <w:rFonts w:ascii="Arial" w:hAnsi="Arial"/>
          <w:sz w:val="18"/>
          <w:szCs w:val="18"/>
        </w:rPr>
      </w:pPr>
      <w:r w:rsidRPr="006E4D10">
        <w:rPr>
          <w:rFonts w:ascii="Arial" w:hAnsi="Arial"/>
          <w:sz w:val="18"/>
          <w:szCs w:val="18"/>
        </w:rPr>
        <w:t>The syndicate’s reinsurance strategy and objectives</w:t>
      </w:r>
    </w:p>
    <w:p w14:paraId="266A736B" w14:textId="77777777" w:rsidR="00491E54" w:rsidRPr="006E4D10"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6E4D10">
        <w:rPr>
          <w:rFonts w:ascii="Arial" w:hAnsi="Arial"/>
          <w:sz w:val="18"/>
          <w:szCs w:val="18"/>
        </w:rPr>
        <w:t>The syndicate’s reinsurance purchasing rationales and design criteria</w:t>
      </w:r>
    </w:p>
    <w:p w14:paraId="5CDA8572" w14:textId="77777777" w:rsidR="00491E54" w:rsidRPr="006E4D10"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6E4D10">
        <w:rPr>
          <w:rFonts w:ascii="Arial" w:hAnsi="Arial"/>
          <w:sz w:val="18"/>
          <w:szCs w:val="18"/>
        </w:rPr>
        <w:t>The overall monetary values of the reinsurance risk transfer</w:t>
      </w:r>
    </w:p>
    <w:p w14:paraId="463E3B62"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The types of product(s) purchased, including the use of reinsurance shared with other entities (see also the requirements for Shared Reinsurance Arrangements below) , the use of Related Parties (see also the Disclosure of Related Party and Other Transactions which May Give Rise to a Conflict of Interest), and the use of potentially Non-Standard reinsurance (see the requirements for Non-Standard and Alternative Reinsurance Arrangements below)</w:t>
      </w:r>
    </w:p>
    <w:p w14:paraId="5C78F7B1"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A summary of any material retained risks that are not protected by the reinsurance arrangements, either due to coverage differences or differences in period of protection</w:t>
      </w:r>
    </w:p>
    <w:p w14:paraId="27C31A05"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Concentration levels with each reinsurance counterparty involved</w:t>
      </w:r>
    </w:p>
    <w:p w14:paraId="02C9E7B2"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The value, type and nature of any supporting funding and/or collateral arrangements</w:t>
      </w:r>
    </w:p>
    <w:p w14:paraId="16CA3BC8"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 xml:space="preserve">A summary of the risk transfer contract structure(s) and key terms </w:t>
      </w:r>
    </w:p>
    <w:p w14:paraId="67643043"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 xml:space="preserve">The reinsurer financial strength assessments undertaken by the managing agent </w:t>
      </w:r>
    </w:p>
    <w:p w14:paraId="099C6B8F" w14:textId="77777777" w:rsidR="00491E54" w:rsidRPr="00F32AC9" w:rsidRDefault="00491E54" w:rsidP="009C3025">
      <w:pPr>
        <w:pStyle w:val="ListParagraph"/>
        <w:numPr>
          <w:ilvl w:val="0"/>
          <w:numId w:val="30"/>
        </w:numPr>
        <w:tabs>
          <w:tab w:val="num" w:pos="426"/>
          <w:tab w:val="right" w:pos="9582"/>
        </w:tabs>
        <w:spacing w:line="240" w:lineRule="atLeast"/>
        <w:rPr>
          <w:rFonts w:ascii="Arial" w:hAnsi="Arial"/>
          <w:sz w:val="18"/>
          <w:szCs w:val="18"/>
        </w:rPr>
      </w:pPr>
      <w:r w:rsidRPr="00F32AC9">
        <w:rPr>
          <w:rFonts w:ascii="Arial" w:hAnsi="Arial"/>
          <w:sz w:val="18"/>
          <w:szCs w:val="18"/>
        </w:rPr>
        <w:t>Details of the syndicate’s reinsurance counterparty acceptance criteria</w:t>
      </w:r>
    </w:p>
    <w:p w14:paraId="50D71208" w14:textId="77777777" w:rsidR="00491E54" w:rsidRPr="00491E54" w:rsidRDefault="00491E54" w:rsidP="00491E54">
      <w:pPr>
        <w:tabs>
          <w:tab w:val="num" w:pos="596"/>
          <w:tab w:val="right" w:pos="9582"/>
        </w:tabs>
        <w:spacing w:line="240" w:lineRule="atLeast"/>
        <w:ind w:left="142"/>
        <w:rPr>
          <w:rFonts w:ascii="Arial" w:hAnsi="Arial"/>
          <w:sz w:val="18"/>
          <w:szCs w:val="18"/>
        </w:rPr>
      </w:pPr>
    </w:p>
    <w:p w14:paraId="65DBA8E0" w14:textId="5E8E7E9C" w:rsidR="00491E54" w:rsidRPr="006E4D10" w:rsidRDefault="00491E54" w:rsidP="59106796">
      <w:pPr>
        <w:tabs>
          <w:tab w:val="right" w:pos="5897"/>
        </w:tabs>
        <w:spacing w:after="240" w:line="240" w:lineRule="atLeast"/>
        <w:rPr>
          <w:rFonts w:ascii="Arial" w:hAnsi="Arial" w:cs="Arial"/>
          <w:sz w:val="18"/>
          <w:szCs w:val="18"/>
        </w:rPr>
      </w:pPr>
      <w:r w:rsidRPr="006E4D10">
        <w:rPr>
          <w:rFonts w:ascii="Arial" w:hAnsi="Arial" w:cs="Arial"/>
          <w:sz w:val="18"/>
          <w:szCs w:val="18"/>
        </w:rPr>
        <w:lastRenderedPageBreak/>
        <w:t xml:space="preserve">Lloyd’s will </w:t>
      </w:r>
      <w:r w:rsidR="275EECB5" w:rsidRPr="006E4D10">
        <w:rPr>
          <w:rFonts w:ascii="Arial" w:hAnsi="Arial" w:cs="Arial"/>
          <w:sz w:val="18"/>
          <w:szCs w:val="18"/>
        </w:rPr>
        <w:t>confirm</w:t>
      </w:r>
      <w:r w:rsidR="00A2151F" w:rsidRPr="006E4D10">
        <w:rPr>
          <w:rFonts w:ascii="Arial" w:hAnsi="Arial" w:cs="Arial"/>
          <w:sz w:val="18"/>
          <w:szCs w:val="18"/>
        </w:rPr>
        <w:t xml:space="preserve"> </w:t>
      </w:r>
      <w:r w:rsidRPr="006E4D10">
        <w:rPr>
          <w:rFonts w:ascii="Arial" w:hAnsi="Arial" w:cs="Arial"/>
          <w:sz w:val="18"/>
          <w:szCs w:val="18"/>
        </w:rPr>
        <w:t xml:space="preserve">if additional information is </w:t>
      </w:r>
      <w:r w:rsidR="51FF7879" w:rsidRPr="006E4D10">
        <w:rPr>
          <w:rFonts w:ascii="Arial" w:hAnsi="Arial" w:cs="Arial"/>
          <w:sz w:val="18"/>
          <w:szCs w:val="18"/>
        </w:rPr>
        <w:t>require</w:t>
      </w:r>
      <w:r w:rsidR="006E4D10" w:rsidRPr="006E4D10">
        <w:rPr>
          <w:rFonts w:ascii="Arial" w:hAnsi="Arial" w:cs="Arial"/>
          <w:sz w:val="18"/>
          <w:szCs w:val="18"/>
        </w:rPr>
        <w:t xml:space="preserve">d </w:t>
      </w:r>
      <w:r w:rsidRPr="006E4D10">
        <w:rPr>
          <w:rFonts w:ascii="Arial" w:hAnsi="Arial" w:cs="Arial"/>
          <w:sz w:val="18"/>
          <w:szCs w:val="18"/>
        </w:rPr>
        <w:t xml:space="preserve">and will advise the managing agent of any revised criteria, supplemental reporting, or actions </w:t>
      </w:r>
      <w:r w:rsidR="4100ECDB" w:rsidRPr="006E4D10">
        <w:rPr>
          <w:rFonts w:ascii="Arial" w:hAnsi="Arial" w:cs="Arial"/>
          <w:sz w:val="18"/>
          <w:szCs w:val="18"/>
        </w:rPr>
        <w:t>neede</w:t>
      </w:r>
      <w:r w:rsidR="006E4D10" w:rsidRPr="006E4D10">
        <w:rPr>
          <w:rFonts w:ascii="Arial" w:hAnsi="Arial" w:cs="Arial"/>
          <w:sz w:val="18"/>
          <w:szCs w:val="18"/>
        </w:rPr>
        <w:t>d.</w:t>
      </w:r>
    </w:p>
    <w:p w14:paraId="36EA8FC3" w14:textId="77777777"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 xml:space="preserve">Reinsurer selection </w:t>
      </w:r>
    </w:p>
    <w:p w14:paraId="5F9A0561" w14:textId="77777777" w:rsidR="00491E54" w:rsidRPr="00491E54" w:rsidRDefault="00491E54" w:rsidP="00491E54">
      <w:pPr>
        <w:keepNext/>
        <w:tabs>
          <w:tab w:val="right" w:pos="5897"/>
        </w:tabs>
        <w:spacing w:line="240" w:lineRule="atLeast"/>
        <w:rPr>
          <w:rFonts w:ascii="Arial" w:hAnsi="Arial" w:cs="Arial"/>
          <w:bCs/>
          <w:sz w:val="18"/>
          <w:szCs w:val="18"/>
        </w:rPr>
      </w:pPr>
    </w:p>
    <w:p w14:paraId="32CD3667"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The choice of reinsurer for a syndicate is a matter for managing agents. However, prior notification to Lloyd’s is required if:</w:t>
      </w:r>
    </w:p>
    <w:p w14:paraId="05ACD0EF" w14:textId="77777777" w:rsidR="00491E54" w:rsidRPr="00491E54" w:rsidRDefault="00491E54" w:rsidP="00491E54">
      <w:pPr>
        <w:keepNext/>
        <w:tabs>
          <w:tab w:val="right" w:pos="5897"/>
        </w:tabs>
        <w:spacing w:line="240" w:lineRule="atLeast"/>
        <w:rPr>
          <w:rFonts w:ascii="Arial" w:hAnsi="Arial" w:cs="Arial"/>
          <w:b/>
          <w:sz w:val="18"/>
          <w:szCs w:val="18"/>
        </w:rPr>
      </w:pPr>
      <w:r w:rsidRPr="00491E54">
        <w:rPr>
          <w:rFonts w:ascii="Arial" w:hAnsi="Arial" w:cs="Arial"/>
          <w:b/>
          <w:sz w:val="18"/>
          <w:szCs w:val="18"/>
        </w:rPr>
        <w:t>Reinsurer concentration</w:t>
      </w:r>
    </w:p>
    <w:p w14:paraId="51D80730" w14:textId="77777777" w:rsidR="00491E54" w:rsidRPr="00491E54" w:rsidRDefault="00491E54" w:rsidP="00491E54">
      <w:pPr>
        <w:keepNext/>
        <w:tabs>
          <w:tab w:val="right" w:pos="5897"/>
        </w:tabs>
        <w:spacing w:line="240" w:lineRule="atLeast"/>
        <w:rPr>
          <w:rFonts w:ascii="Arial" w:hAnsi="Arial" w:cs="Arial"/>
          <w:b/>
          <w:sz w:val="18"/>
          <w:szCs w:val="18"/>
        </w:rPr>
      </w:pPr>
    </w:p>
    <w:p w14:paraId="63C9F377" w14:textId="576652DF" w:rsidR="00491E54" w:rsidRPr="001D5ED0" w:rsidRDefault="00491E54" w:rsidP="59106796">
      <w:pPr>
        <w:pStyle w:val="ListParagraph"/>
        <w:numPr>
          <w:ilvl w:val="0"/>
          <w:numId w:val="31"/>
        </w:numPr>
        <w:tabs>
          <w:tab w:val="num" w:pos="85"/>
          <w:tab w:val="right" w:pos="5897"/>
        </w:tabs>
        <w:spacing w:after="120" w:line="240" w:lineRule="atLeast"/>
        <w:rPr>
          <w:rFonts w:ascii="Arial" w:hAnsi="Arial"/>
          <w:sz w:val="18"/>
          <w:szCs w:val="18"/>
        </w:rPr>
      </w:pPr>
      <w:r w:rsidRPr="59106796">
        <w:rPr>
          <w:rFonts w:ascii="Arial" w:hAnsi="Arial"/>
          <w:sz w:val="18"/>
          <w:szCs w:val="18"/>
        </w:rPr>
        <w:t xml:space="preserve">A syndicate intends to purchase new reinsurance arrangements with a single reinsurance entity and/or multiple reinsurance entities which are within the same group of companies (i.e. reinsurance entities related/affiliated to each other through </w:t>
      </w:r>
      <w:r w:rsidRPr="001D5ED0">
        <w:rPr>
          <w:rFonts w:ascii="Arial" w:hAnsi="Arial"/>
          <w:sz w:val="18"/>
          <w:szCs w:val="18"/>
        </w:rPr>
        <w:t>common ownership, directorship or financial and/or strategic interdependency) whether or not they are related to the syndicate, if either of the following apply:</w:t>
      </w:r>
    </w:p>
    <w:p w14:paraId="558DF59E" w14:textId="21642FCA" w:rsidR="00491E54" w:rsidRPr="001D5ED0" w:rsidRDefault="00491E54" w:rsidP="007533D0">
      <w:pPr>
        <w:pStyle w:val="ListParagraph"/>
        <w:numPr>
          <w:ilvl w:val="0"/>
          <w:numId w:val="32"/>
        </w:numPr>
        <w:tabs>
          <w:tab w:val="num" w:pos="880"/>
          <w:tab w:val="num" w:pos="1525"/>
          <w:tab w:val="right" w:pos="5897"/>
          <w:tab w:val="right" w:pos="9582"/>
        </w:tabs>
        <w:spacing w:after="120" w:line="240" w:lineRule="atLeast"/>
        <w:rPr>
          <w:rFonts w:ascii="Arial" w:hAnsi="Arial" w:cs="Arial"/>
          <w:sz w:val="18"/>
          <w:szCs w:val="18"/>
        </w:rPr>
      </w:pPr>
      <w:r w:rsidRPr="001D5ED0">
        <w:rPr>
          <w:rFonts w:ascii="Arial" w:hAnsi="Arial" w:cs="Arial"/>
          <w:sz w:val="18"/>
          <w:szCs w:val="18"/>
        </w:rPr>
        <w:t xml:space="preserve">the total estimated gross reinsurance premiums (before the deduction of reinsurance commissions) under all reinsurance contracts with these reinsurers in aggregate is expected to exceed 20% of any single syndicate underwriting year of account gross </w:t>
      </w:r>
      <w:proofErr w:type="spellStart"/>
      <w:r w:rsidRPr="001D5ED0">
        <w:rPr>
          <w:rFonts w:ascii="Arial" w:hAnsi="Arial" w:cs="Arial"/>
          <w:sz w:val="18"/>
          <w:szCs w:val="18"/>
        </w:rPr>
        <w:t>gross</w:t>
      </w:r>
      <w:proofErr w:type="spellEnd"/>
      <w:r w:rsidRPr="001D5ED0">
        <w:rPr>
          <w:rFonts w:ascii="Arial" w:hAnsi="Arial" w:cs="Arial"/>
          <w:sz w:val="18"/>
          <w:szCs w:val="18"/>
        </w:rPr>
        <w:t xml:space="preserve"> written premium.</w:t>
      </w:r>
    </w:p>
    <w:p w14:paraId="4214A2FD" w14:textId="4FED2AE7" w:rsidR="00491E54" w:rsidRPr="001D5ED0" w:rsidRDefault="0AC7DA2A" w:rsidP="007533D0">
      <w:pPr>
        <w:pStyle w:val="ListParagraph"/>
        <w:numPr>
          <w:ilvl w:val="0"/>
          <w:numId w:val="32"/>
        </w:numPr>
        <w:tabs>
          <w:tab w:val="num" w:pos="880"/>
          <w:tab w:val="num" w:pos="1525"/>
          <w:tab w:val="right" w:pos="5897"/>
          <w:tab w:val="right" w:pos="9582"/>
        </w:tabs>
        <w:spacing w:after="120" w:line="240" w:lineRule="atLeast"/>
        <w:rPr>
          <w:rFonts w:ascii="Arial" w:hAnsi="Arial" w:cs="Arial"/>
          <w:sz w:val="18"/>
          <w:szCs w:val="18"/>
        </w:rPr>
      </w:pPr>
      <w:r w:rsidRPr="001D5ED0">
        <w:rPr>
          <w:rFonts w:ascii="Arial" w:hAnsi="Arial" w:cs="Arial"/>
          <w:sz w:val="18"/>
          <w:szCs w:val="18"/>
        </w:rPr>
        <w:t>Any of the triggers for concentration, as indicated in the Lloyd’s Capital Guidance, are reached</w:t>
      </w:r>
      <w:r w:rsidR="001D5ED0" w:rsidRPr="001D5ED0">
        <w:rPr>
          <w:rFonts w:ascii="Arial" w:hAnsi="Arial" w:cs="Arial"/>
          <w:sz w:val="18"/>
          <w:szCs w:val="18"/>
        </w:rPr>
        <w:t>.</w:t>
      </w:r>
    </w:p>
    <w:p w14:paraId="7F3D38BB" w14:textId="77777777" w:rsidR="00491E54" w:rsidRPr="00491E54" w:rsidRDefault="00491E54" w:rsidP="00491E54">
      <w:pPr>
        <w:keepNext/>
        <w:tabs>
          <w:tab w:val="right" w:pos="5897"/>
        </w:tabs>
        <w:spacing w:line="240" w:lineRule="atLeast"/>
        <w:rPr>
          <w:rFonts w:ascii="Arial" w:hAnsi="Arial" w:cs="Arial"/>
          <w:b/>
          <w:sz w:val="18"/>
          <w:szCs w:val="18"/>
        </w:rPr>
      </w:pPr>
      <w:r w:rsidRPr="00491E54">
        <w:rPr>
          <w:rFonts w:ascii="Arial" w:hAnsi="Arial" w:cs="Arial"/>
          <w:b/>
          <w:sz w:val="18"/>
          <w:szCs w:val="18"/>
        </w:rPr>
        <w:t>Reinsurer financial strength</w:t>
      </w:r>
    </w:p>
    <w:p w14:paraId="6AB6652D" w14:textId="77777777" w:rsidR="00491E54" w:rsidRPr="00491E54" w:rsidRDefault="00491E54" w:rsidP="00491E54">
      <w:pPr>
        <w:keepNext/>
        <w:tabs>
          <w:tab w:val="right" w:pos="5897"/>
        </w:tabs>
        <w:spacing w:line="240" w:lineRule="atLeast"/>
        <w:rPr>
          <w:rFonts w:ascii="Arial" w:hAnsi="Arial" w:cs="Arial"/>
          <w:b/>
          <w:sz w:val="18"/>
          <w:szCs w:val="18"/>
        </w:rPr>
      </w:pPr>
    </w:p>
    <w:p w14:paraId="710BC51F" w14:textId="30A7E79F" w:rsidR="007B1F1D" w:rsidRPr="008B6E93" w:rsidRDefault="00491E54" w:rsidP="009C3025">
      <w:pPr>
        <w:pStyle w:val="ListParagraph"/>
        <w:numPr>
          <w:ilvl w:val="0"/>
          <w:numId w:val="31"/>
        </w:numPr>
        <w:tabs>
          <w:tab w:val="num" w:pos="85"/>
          <w:tab w:val="num" w:pos="369"/>
          <w:tab w:val="right" w:pos="5897"/>
        </w:tabs>
        <w:spacing w:after="120" w:line="240" w:lineRule="atLeast"/>
        <w:ind w:left="567" w:hanging="218"/>
        <w:rPr>
          <w:rFonts w:ascii="Arial" w:hAnsi="Arial"/>
          <w:sz w:val="18"/>
        </w:rPr>
      </w:pPr>
      <w:r w:rsidRPr="007B1F1D">
        <w:rPr>
          <w:rFonts w:ascii="Arial" w:hAnsi="Arial"/>
          <w:sz w:val="18"/>
        </w:rPr>
        <w:t>A syndicate intends to purchase or renew reinsurance from reinsurers where any of the criteria in a – c below apply, subject to d:</w:t>
      </w:r>
    </w:p>
    <w:p w14:paraId="446D473C" w14:textId="74697A4B" w:rsidR="00491E54" w:rsidRPr="007B1F1D" w:rsidRDefault="00491E54" w:rsidP="007533D0">
      <w:pPr>
        <w:pStyle w:val="ListParagraph"/>
        <w:numPr>
          <w:ilvl w:val="0"/>
          <w:numId w:val="33"/>
        </w:numPr>
        <w:tabs>
          <w:tab w:val="num" w:pos="880"/>
          <w:tab w:val="num" w:pos="1525"/>
          <w:tab w:val="right" w:pos="5897"/>
          <w:tab w:val="right" w:pos="9582"/>
        </w:tabs>
        <w:spacing w:after="120" w:line="240" w:lineRule="atLeast"/>
        <w:rPr>
          <w:rFonts w:ascii="Arial" w:hAnsi="Arial" w:cs="Arial"/>
          <w:sz w:val="18"/>
          <w:szCs w:val="18"/>
        </w:rPr>
      </w:pPr>
      <w:r w:rsidRPr="007B1F1D">
        <w:rPr>
          <w:rFonts w:ascii="Arial" w:hAnsi="Arial" w:cs="Arial"/>
          <w:sz w:val="18"/>
          <w:szCs w:val="18"/>
        </w:rPr>
        <w:t>The reinsurer has a financial strength rating from a recognised credit assessment/rating institution which is lower than an A-, i.e. is not considered “strong”, “superior” or “excellent”, and the full potential liability of the reinsurer(s) under the reinsurance contract(s) is not supported in full with low risk forms of collateral/securitisation and/or funding, subject to d below.</w:t>
      </w:r>
    </w:p>
    <w:p w14:paraId="2F52A329" w14:textId="7E81D94A" w:rsidR="00491E54" w:rsidRPr="007B1F1D" w:rsidRDefault="00491E54" w:rsidP="007533D0">
      <w:pPr>
        <w:pStyle w:val="ListParagraph"/>
        <w:numPr>
          <w:ilvl w:val="0"/>
          <w:numId w:val="33"/>
        </w:numPr>
        <w:tabs>
          <w:tab w:val="num" w:pos="880"/>
          <w:tab w:val="num" w:pos="1525"/>
          <w:tab w:val="right" w:pos="5897"/>
          <w:tab w:val="right" w:pos="9582"/>
        </w:tabs>
        <w:spacing w:after="120" w:line="240" w:lineRule="atLeast"/>
        <w:rPr>
          <w:rFonts w:ascii="Arial" w:hAnsi="Arial" w:cs="Arial"/>
          <w:sz w:val="18"/>
          <w:szCs w:val="18"/>
        </w:rPr>
      </w:pPr>
      <w:r w:rsidRPr="007B1F1D">
        <w:rPr>
          <w:rFonts w:ascii="Arial" w:hAnsi="Arial" w:cs="Arial"/>
          <w:sz w:val="18"/>
          <w:szCs w:val="18"/>
        </w:rPr>
        <w:t>The reinsurer does not have a financial strength rating from any recognised credit assessment/rating institution, and the full potential liability of the reinsurer(s) under the reinsurance contract(s) is not supported in full with low risk forms of collateral/securitisation and/or funding, subject to d below.</w:t>
      </w:r>
    </w:p>
    <w:p w14:paraId="104A37FC" w14:textId="0E26DF91" w:rsidR="00491E54" w:rsidRPr="007B1F1D" w:rsidRDefault="00491E54" w:rsidP="007533D0">
      <w:pPr>
        <w:pStyle w:val="ListParagraph"/>
        <w:numPr>
          <w:ilvl w:val="0"/>
          <w:numId w:val="33"/>
        </w:numPr>
        <w:tabs>
          <w:tab w:val="num" w:pos="880"/>
          <w:tab w:val="num" w:pos="1525"/>
          <w:tab w:val="right" w:pos="5897"/>
          <w:tab w:val="right" w:pos="9582"/>
        </w:tabs>
        <w:spacing w:after="120" w:line="240" w:lineRule="atLeast"/>
        <w:rPr>
          <w:rFonts w:ascii="Arial" w:hAnsi="Arial" w:cs="Arial"/>
          <w:sz w:val="18"/>
          <w:szCs w:val="18"/>
        </w:rPr>
      </w:pPr>
      <w:r w:rsidRPr="007B1F1D">
        <w:rPr>
          <w:rFonts w:ascii="Arial" w:hAnsi="Arial" w:cs="Arial"/>
          <w:sz w:val="18"/>
          <w:szCs w:val="18"/>
        </w:rPr>
        <w:t>The reinsurer has a financial strength rating from a recognised credit assessment/rating institution which is equal to or higher than an A-, but where the syndicate knows that the risk will be retroceded 100% to a reinsurer who falls within a or b above, subject to d below.</w:t>
      </w:r>
    </w:p>
    <w:p w14:paraId="0A527B18" w14:textId="5A360477" w:rsidR="00491E54" w:rsidRPr="007B1F1D" w:rsidRDefault="00491E54" w:rsidP="007533D0">
      <w:pPr>
        <w:pStyle w:val="ListParagraph"/>
        <w:numPr>
          <w:ilvl w:val="0"/>
          <w:numId w:val="33"/>
        </w:numPr>
        <w:tabs>
          <w:tab w:val="num" w:pos="880"/>
          <w:tab w:val="num" w:pos="1525"/>
          <w:tab w:val="right" w:pos="5897"/>
          <w:tab w:val="right" w:pos="9582"/>
        </w:tabs>
        <w:spacing w:after="120" w:line="240" w:lineRule="atLeast"/>
        <w:rPr>
          <w:rFonts w:ascii="Arial" w:hAnsi="Arial" w:cs="Arial"/>
          <w:sz w:val="18"/>
          <w:szCs w:val="18"/>
        </w:rPr>
      </w:pPr>
      <w:r w:rsidRPr="007B1F1D">
        <w:rPr>
          <w:rFonts w:ascii="Arial" w:hAnsi="Arial" w:cs="Arial"/>
          <w:sz w:val="18"/>
          <w:szCs w:val="18"/>
        </w:rPr>
        <w:t xml:space="preserve">The criteria set out in a to c above shall only apply where the total estimated gross reinsurance premiums (before the deduction of reinsurance commissions) under all reinsurance contracts with these reinsurers in aggregate is planned or expected to exceed 2% of any single syndicate underwriting year of account gross </w:t>
      </w:r>
      <w:proofErr w:type="spellStart"/>
      <w:r w:rsidRPr="007B1F1D">
        <w:rPr>
          <w:rFonts w:ascii="Arial" w:hAnsi="Arial" w:cs="Arial"/>
          <w:sz w:val="18"/>
          <w:szCs w:val="18"/>
        </w:rPr>
        <w:t>gross</w:t>
      </w:r>
      <w:proofErr w:type="spellEnd"/>
      <w:r w:rsidRPr="007B1F1D">
        <w:rPr>
          <w:rFonts w:ascii="Arial" w:hAnsi="Arial" w:cs="Arial"/>
          <w:sz w:val="18"/>
          <w:szCs w:val="18"/>
        </w:rPr>
        <w:t xml:space="preserve"> written premium.</w:t>
      </w:r>
    </w:p>
    <w:p w14:paraId="1948F235" w14:textId="77777777" w:rsidR="00491E54" w:rsidRPr="00491E54" w:rsidRDefault="00491E54" w:rsidP="00491E54">
      <w:pPr>
        <w:tabs>
          <w:tab w:val="num" w:pos="1525"/>
          <w:tab w:val="right" w:pos="9582"/>
        </w:tabs>
        <w:spacing w:line="240" w:lineRule="atLeast"/>
        <w:ind w:left="596"/>
        <w:rPr>
          <w:rFonts w:ascii="Arial" w:hAnsi="Arial" w:cs="Arial"/>
          <w:sz w:val="18"/>
          <w:szCs w:val="18"/>
        </w:rPr>
      </w:pPr>
    </w:p>
    <w:p w14:paraId="1E808E5B"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If any of the above thresholds are crossed as a result of an unexpected change, or if there is a material increase to a previously notified position, then the managing agent should notify Lloyd’s at an early stage.</w:t>
      </w:r>
    </w:p>
    <w:p w14:paraId="44E20E41" w14:textId="77777777" w:rsidR="00491E54" w:rsidRPr="00491E54" w:rsidRDefault="00491E54" w:rsidP="007B1F1D">
      <w:pPr>
        <w:keepNext/>
        <w:tabs>
          <w:tab w:val="right" w:pos="5897"/>
        </w:tabs>
        <w:spacing w:line="240" w:lineRule="atLeast"/>
        <w:ind w:left="720"/>
        <w:rPr>
          <w:rFonts w:ascii="Arial" w:hAnsi="Arial" w:cs="Arial"/>
          <w:b/>
          <w:sz w:val="18"/>
          <w:szCs w:val="18"/>
          <w:u w:val="single"/>
        </w:rPr>
      </w:pPr>
      <w:r w:rsidRPr="00491E54">
        <w:rPr>
          <w:rFonts w:ascii="Arial" w:hAnsi="Arial" w:cs="Arial"/>
          <w:b/>
          <w:sz w:val="18"/>
          <w:szCs w:val="18"/>
          <w:u w:val="single"/>
        </w:rPr>
        <w:t>Guidance</w:t>
      </w:r>
    </w:p>
    <w:p w14:paraId="2F499B3F" w14:textId="77777777" w:rsidR="00491E54" w:rsidRPr="00491E54" w:rsidRDefault="00491E54" w:rsidP="00491E54">
      <w:pPr>
        <w:keepNext/>
        <w:tabs>
          <w:tab w:val="right" w:pos="5897"/>
        </w:tabs>
        <w:spacing w:line="240" w:lineRule="atLeast"/>
        <w:rPr>
          <w:rFonts w:ascii="Arial" w:hAnsi="Arial" w:cs="Arial"/>
          <w:b/>
          <w:sz w:val="18"/>
          <w:szCs w:val="18"/>
        </w:rPr>
      </w:pPr>
    </w:p>
    <w:p w14:paraId="35D58C3D"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While prior Lloyd’s approval is not required, Lloyd’s will look to undertake a risk-based review of the transaction focusing on evaluating how any potential risks have been assessed and managed by the managing agent.</w:t>
      </w:r>
    </w:p>
    <w:p w14:paraId="5C71DD85"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It is accepted that decisions on the scale of reinsurer participation may take place at any time during the year so managing agents should engage with their Lloyd’s Outwards Reinsurance Manager as soon as they become aware of a potential triggering of these notification requirements. </w:t>
      </w:r>
    </w:p>
    <w:p w14:paraId="174C1D99"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Managing agent submissions of SBFs to Lloyd’s also present a natural opportunity to notify/engage with Lloyd’s regarding proposals that trigger these requirements. </w:t>
      </w:r>
    </w:p>
    <w:p w14:paraId="5E1827BC"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The following information should accompany any notification to Lloyd’s:</w:t>
      </w:r>
    </w:p>
    <w:p w14:paraId="5FB93721"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The overall monetary values of the reinsurance risk transfer</w:t>
      </w:r>
    </w:p>
    <w:p w14:paraId="5F84D30A"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lastRenderedPageBreak/>
        <w:t>Concentration levels with each reinsurance counterparty involved</w:t>
      </w:r>
    </w:p>
    <w:p w14:paraId="05A10F9C"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The value, type and nature of any supporting funding and/or collateral arrangements</w:t>
      </w:r>
    </w:p>
    <w:p w14:paraId="0EE09982"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The types of product(s) purchased, including the use of reinsurance shared with other entities (see also the requirements for Shared Reinsurance Arrangements below), and the use of potentially non-standard reinsurance (see also the requirements for Non-Standard and Alternative Reinsurance Arrangements below)</w:t>
      </w:r>
    </w:p>
    <w:p w14:paraId="596DCECA"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 xml:space="preserve">A summary of the risk transfer contract structure(s) and key terms </w:t>
      </w:r>
    </w:p>
    <w:p w14:paraId="64A30EEC"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 xml:space="preserve">The reinsurer financial strength assessments undertaken by the managing agent </w:t>
      </w:r>
    </w:p>
    <w:p w14:paraId="5E805105" w14:textId="77777777" w:rsidR="00491E54" w:rsidRPr="00C76AC8" w:rsidRDefault="00491E54" w:rsidP="009C3025">
      <w:pPr>
        <w:pStyle w:val="ListParagraph"/>
        <w:numPr>
          <w:ilvl w:val="0"/>
          <w:numId w:val="34"/>
        </w:numPr>
        <w:tabs>
          <w:tab w:val="num" w:pos="426"/>
          <w:tab w:val="right" w:pos="9582"/>
        </w:tabs>
        <w:spacing w:line="240" w:lineRule="atLeast"/>
        <w:rPr>
          <w:rFonts w:ascii="Arial" w:hAnsi="Arial"/>
          <w:sz w:val="18"/>
          <w:szCs w:val="18"/>
        </w:rPr>
      </w:pPr>
      <w:r w:rsidRPr="00C76AC8">
        <w:rPr>
          <w:rFonts w:ascii="Arial" w:hAnsi="Arial"/>
          <w:sz w:val="18"/>
          <w:szCs w:val="18"/>
        </w:rPr>
        <w:t>Details of the syndicate’s reinsurance counterparty acceptance criteria.</w:t>
      </w:r>
    </w:p>
    <w:p w14:paraId="7BB10C1F" w14:textId="77777777" w:rsidR="00491E54" w:rsidRPr="00491E54" w:rsidRDefault="00491E54" w:rsidP="00491E54">
      <w:pPr>
        <w:tabs>
          <w:tab w:val="num" w:pos="596"/>
          <w:tab w:val="right" w:pos="9582"/>
        </w:tabs>
        <w:spacing w:line="240" w:lineRule="atLeast"/>
        <w:ind w:left="142"/>
        <w:rPr>
          <w:rFonts w:ascii="Arial" w:hAnsi="Arial"/>
          <w:sz w:val="18"/>
          <w:szCs w:val="18"/>
        </w:rPr>
      </w:pPr>
    </w:p>
    <w:p w14:paraId="522B0343" w14:textId="77777777" w:rsidR="00491E54" w:rsidRPr="00491E54" w:rsidRDefault="00491E54" w:rsidP="00491E54">
      <w:pPr>
        <w:tabs>
          <w:tab w:val="right" w:pos="5897"/>
        </w:tabs>
        <w:spacing w:after="240" w:line="240" w:lineRule="atLeast"/>
        <w:rPr>
          <w:rFonts w:ascii="Arial" w:hAnsi="Arial"/>
          <w:sz w:val="18"/>
        </w:rPr>
      </w:pPr>
      <w:r w:rsidRPr="00491E54">
        <w:rPr>
          <w:rFonts w:ascii="Arial" w:hAnsi="Arial"/>
          <w:sz w:val="18"/>
        </w:rPr>
        <w:t>Lloyd’s will advise if additional information is needed. Lloyd’s will then form an opinion on the level of reinsurance risk potential and will advise the managing agent of any revised notification criteria, supplemental reporting, or broader actions that may be required.</w:t>
      </w:r>
    </w:p>
    <w:p w14:paraId="572900DF" w14:textId="77777777"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 xml:space="preserve">Non-standard reinsurance arrangements </w:t>
      </w:r>
    </w:p>
    <w:p w14:paraId="5B135B8D" w14:textId="77777777" w:rsidR="00491E54" w:rsidRPr="00491E54" w:rsidRDefault="00491E54" w:rsidP="00491E54">
      <w:pPr>
        <w:keepNext/>
        <w:spacing w:line="280" w:lineRule="atLeast"/>
        <w:rPr>
          <w:rFonts w:ascii="Arial" w:hAnsi="Arial" w:cs="Arial"/>
          <w:b/>
          <w:color w:val="1E35BF"/>
          <w:sz w:val="22"/>
          <w:szCs w:val="22"/>
          <w:lang w:val="en-US" w:eastAsia="en-US"/>
        </w:rPr>
      </w:pPr>
    </w:p>
    <w:p w14:paraId="10AC29AF"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Lloyd’s will only permit products that meet the legal definition of reinsurance and that provide genuine risk transfer to be considered and treated as admissible outwards reinsurance for the purpose of calculating a syndicate’s net inwards (re)insurance risk.  </w:t>
      </w:r>
    </w:p>
    <w:p w14:paraId="37C7E2E9"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Lloyd’s prior approval will therefore be required if a syndicate intends to treat a non-standard reinsurance or alternative risk transfer arrangement as a reinsurance contract in the syndicate’s insurance exposure/loss reporting, business plan or capital calculations.  </w:t>
      </w:r>
    </w:p>
    <w:p w14:paraId="0A58D14D"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For these purposes, non-standard reinsurance and alternative risk transfer arrangements include any purported contract of reinsurance or other financial instrument which it is proposed should be treated as reinsurance by the syndicate, but which does not operate on an indemnity basis or which provides for limited or no demonstrable genuine risk transfer. </w:t>
      </w:r>
    </w:p>
    <w:p w14:paraId="0C62237C"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sz w:val="18"/>
        </w:rPr>
        <w:t>For the avoidance of doubt, parametric, Industry Loss Warranty, and/or collateralised reinsurance products would not be automatically considered as non-standard reinsurance or alternative risk transfer arrangements, provided they operate on an indemnity basis and provide genuine risk transfer.</w:t>
      </w:r>
    </w:p>
    <w:p w14:paraId="2BF7FB7A"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If a contract falls within this definition, then the managing agent must submit the following to Lloyd’s: </w:t>
      </w:r>
    </w:p>
    <w:p w14:paraId="63775055" w14:textId="213E9DB7" w:rsidR="00491E54" w:rsidRPr="001C0F98" w:rsidRDefault="00491E54" w:rsidP="007533D0">
      <w:pPr>
        <w:pStyle w:val="ListParagraph"/>
        <w:numPr>
          <w:ilvl w:val="0"/>
          <w:numId w:val="35"/>
        </w:numPr>
        <w:tabs>
          <w:tab w:val="num" w:pos="85"/>
          <w:tab w:val="num" w:pos="369"/>
          <w:tab w:val="right" w:pos="5897"/>
        </w:tabs>
        <w:spacing w:after="120" w:line="240" w:lineRule="atLeast"/>
        <w:rPr>
          <w:rFonts w:ascii="Arial" w:hAnsi="Arial"/>
          <w:sz w:val="18"/>
        </w:rPr>
      </w:pPr>
      <w:r w:rsidRPr="001C0F98">
        <w:rPr>
          <w:rFonts w:ascii="Arial" w:hAnsi="Arial"/>
          <w:sz w:val="18"/>
        </w:rPr>
        <w:t>Evidence (including, if appropriate, legal opinions) to demonstrate clearly that the arrangement meets the legal definition of reinsurance.</w:t>
      </w:r>
    </w:p>
    <w:p w14:paraId="7351C4FC" w14:textId="79AB9F31" w:rsidR="00491E54" w:rsidRPr="001C0F98" w:rsidRDefault="00491E54" w:rsidP="007533D0">
      <w:pPr>
        <w:pStyle w:val="ListParagraph"/>
        <w:numPr>
          <w:ilvl w:val="0"/>
          <w:numId w:val="35"/>
        </w:numPr>
        <w:tabs>
          <w:tab w:val="num" w:pos="369"/>
          <w:tab w:val="right" w:pos="5897"/>
        </w:tabs>
        <w:spacing w:line="240" w:lineRule="atLeast"/>
        <w:rPr>
          <w:rFonts w:ascii="Arial" w:hAnsi="Arial"/>
          <w:sz w:val="18"/>
        </w:rPr>
      </w:pPr>
      <w:r w:rsidRPr="001C0F98">
        <w:rPr>
          <w:rFonts w:ascii="Arial" w:hAnsi="Arial"/>
          <w:sz w:val="18"/>
        </w:rPr>
        <w:t>Evidence that the managing agent’s auditors have confirmed that the arrangement is being recorded appropriately in accordance with all applicable accounting and regulatory requirements.</w:t>
      </w:r>
    </w:p>
    <w:p w14:paraId="22FEFE45" w14:textId="77777777" w:rsidR="00491E54" w:rsidRPr="00491E54" w:rsidRDefault="00491E54" w:rsidP="00491E54">
      <w:pPr>
        <w:tabs>
          <w:tab w:val="right" w:pos="5897"/>
        </w:tabs>
        <w:spacing w:line="240" w:lineRule="atLeast"/>
        <w:ind w:left="85"/>
        <w:rPr>
          <w:rFonts w:ascii="Arial" w:hAnsi="Arial"/>
          <w:sz w:val="18"/>
        </w:rPr>
      </w:pPr>
    </w:p>
    <w:p w14:paraId="2B6D6752"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If the above cannot be demonstrated, then the arrangement will not be admissible as a reinsurance contract and should not be considered or treated as reinsurance within the syndicate’s insurance exposure/loss reporting, business plan or capital calculations.</w:t>
      </w:r>
    </w:p>
    <w:p w14:paraId="1F218EDB" w14:textId="77777777"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Shared reinsurance arrangements</w:t>
      </w:r>
    </w:p>
    <w:p w14:paraId="657227C5" w14:textId="77777777" w:rsidR="00491E54" w:rsidRPr="00491E54" w:rsidRDefault="00491E54" w:rsidP="00491E54">
      <w:pPr>
        <w:keepNext/>
        <w:spacing w:line="280" w:lineRule="atLeast"/>
        <w:rPr>
          <w:rFonts w:ascii="Arial" w:hAnsi="Arial" w:cs="Arial"/>
          <w:b/>
          <w:color w:val="1E35BF"/>
          <w:sz w:val="22"/>
          <w:szCs w:val="22"/>
          <w:lang w:val="en-US" w:eastAsia="en-US"/>
        </w:rPr>
      </w:pPr>
    </w:p>
    <w:p w14:paraId="676CA3F4"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sz w:val="18"/>
        </w:rPr>
        <w:t>Shared reinsurance arrangements are any reinsurance contract where a syndicate</w:t>
      </w:r>
      <w:r w:rsidRPr="00491E54">
        <w:rPr>
          <w:rFonts w:ascii="Arial" w:hAnsi="Arial"/>
          <w:spacing w:val="-5"/>
          <w:sz w:val="18"/>
        </w:rPr>
        <w:t xml:space="preserve"> </w:t>
      </w:r>
      <w:r w:rsidRPr="00491E54">
        <w:rPr>
          <w:rFonts w:ascii="Arial" w:hAnsi="Arial"/>
          <w:sz w:val="18"/>
        </w:rPr>
        <w:t>shares</w:t>
      </w:r>
      <w:r w:rsidRPr="00491E54">
        <w:rPr>
          <w:rFonts w:ascii="Arial" w:hAnsi="Arial"/>
          <w:spacing w:val="-4"/>
          <w:sz w:val="18"/>
        </w:rPr>
        <w:t xml:space="preserve"> </w:t>
      </w:r>
      <w:r w:rsidRPr="00491E54">
        <w:rPr>
          <w:rFonts w:ascii="Arial" w:hAnsi="Arial"/>
          <w:sz w:val="18"/>
        </w:rPr>
        <w:t>any</w:t>
      </w:r>
      <w:r w:rsidRPr="00491E54">
        <w:rPr>
          <w:rFonts w:ascii="Arial" w:hAnsi="Arial"/>
          <w:spacing w:val="-5"/>
          <w:sz w:val="18"/>
        </w:rPr>
        <w:t xml:space="preserve"> </w:t>
      </w:r>
      <w:r w:rsidRPr="00491E54">
        <w:rPr>
          <w:rFonts w:ascii="Arial" w:hAnsi="Arial"/>
          <w:sz w:val="18"/>
        </w:rPr>
        <w:t>of</w:t>
      </w:r>
      <w:r w:rsidRPr="00491E54">
        <w:rPr>
          <w:rFonts w:ascii="Arial" w:hAnsi="Arial"/>
          <w:spacing w:val="-3"/>
          <w:sz w:val="18"/>
        </w:rPr>
        <w:t xml:space="preserve"> </w:t>
      </w:r>
      <w:r w:rsidRPr="00491E54">
        <w:rPr>
          <w:rFonts w:ascii="Arial" w:hAnsi="Arial"/>
          <w:sz w:val="18"/>
        </w:rPr>
        <w:t>the</w:t>
      </w:r>
      <w:r w:rsidRPr="00491E54">
        <w:rPr>
          <w:rFonts w:ascii="Arial" w:hAnsi="Arial"/>
          <w:spacing w:val="-5"/>
          <w:sz w:val="18"/>
        </w:rPr>
        <w:t xml:space="preserve"> </w:t>
      </w:r>
      <w:r w:rsidRPr="00491E54">
        <w:rPr>
          <w:rFonts w:ascii="Arial" w:hAnsi="Arial"/>
          <w:sz w:val="18"/>
        </w:rPr>
        <w:t>coverage</w:t>
      </w:r>
      <w:r w:rsidRPr="00491E54">
        <w:rPr>
          <w:rFonts w:ascii="Arial" w:hAnsi="Arial"/>
          <w:spacing w:val="-3"/>
          <w:sz w:val="18"/>
        </w:rPr>
        <w:t xml:space="preserve"> </w:t>
      </w:r>
      <w:r w:rsidRPr="00491E54">
        <w:rPr>
          <w:rFonts w:ascii="Arial" w:hAnsi="Arial"/>
          <w:sz w:val="18"/>
        </w:rPr>
        <w:t>of</w:t>
      </w:r>
      <w:r w:rsidRPr="00491E54">
        <w:rPr>
          <w:rFonts w:ascii="Arial" w:hAnsi="Arial"/>
          <w:spacing w:val="-5"/>
          <w:sz w:val="18"/>
        </w:rPr>
        <w:t xml:space="preserve"> </w:t>
      </w:r>
      <w:r w:rsidRPr="00491E54">
        <w:rPr>
          <w:rFonts w:ascii="Arial" w:hAnsi="Arial"/>
          <w:sz w:val="18"/>
        </w:rPr>
        <w:t>the</w:t>
      </w:r>
      <w:r w:rsidRPr="00491E54">
        <w:rPr>
          <w:rFonts w:ascii="Arial" w:hAnsi="Arial"/>
          <w:spacing w:val="-3"/>
          <w:sz w:val="18"/>
        </w:rPr>
        <w:t xml:space="preserve"> </w:t>
      </w:r>
      <w:r w:rsidRPr="00491E54">
        <w:rPr>
          <w:rFonts w:ascii="Arial" w:hAnsi="Arial"/>
          <w:sz w:val="18"/>
        </w:rPr>
        <w:t>reinsurance</w:t>
      </w:r>
      <w:r w:rsidRPr="00491E54">
        <w:rPr>
          <w:rFonts w:ascii="Arial" w:hAnsi="Arial"/>
          <w:spacing w:val="-5"/>
          <w:sz w:val="18"/>
        </w:rPr>
        <w:t xml:space="preserve"> </w:t>
      </w:r>
      <w:r w:rsidRPr="00491E54">
        <w:rPr>
          <w:rFonts w:ascii="Arial" w:hAnsi="Arial"/>
          <w:sz w:val="18"/>
        </w:rPr>
        <w:t>contract</w:t>
      </w:r>
      <w:r w:rsidRPr="00491E54">
        <w:rPr>
          <w:rFonts w:ascii="Arial" w:hAnsi="Arial"/>
          <w:spacing w:val="-3"/>
          <w:sz w:val="18"/>
        </w:rPr>
        <w:t xml:space="preserve"> </w:t>
      </w:r>
      <w:r w:rsidRPr="00491E54">
        <w:rPr>
          <w:rFonts w:ascii="Arial" w:hAnsi="Arial"/>
          <w:sz w:val="18"/>
        </w:rPr>
        <w:t>with other cedants, whether or not they are Lloyd’s syndicates.</w:t>
      </w:r>
      <w:r w:rsidRPr="00491E54">
        <w:rPr>
          <w:rFonts w:ascii="Arial" w:hAnsi="Arial" w:cs="Arial"/>
          <w:bCs/>
          <w:sz w:val="18"/>
          <w:szCs w:val="18"/>
        </w:rPr>
        <w:t xml:space="preserve"> </w:t>
      </w:r>
    </w:p>
    <w:p w14:paraId="4DDABD5A" w14:textId="77777777" w:rsidR="00491E54" w:rsidRPr="00491E54" w:rsidRDefault="00491E54" w:rsidP="00491E54">
      <w:pPr>
        <w:keepNext/>
        <w:tabs>
          <w:tab w:val="right" w:pos="5897"/>
        </w:tabs>
        <w:spacing w:after="240" w:line="240" w:lineRule="atLeast"/>
        <w:rPr>
          <w:rFonts w:ascii="Arial" w:hAnsi="Arial" w:cs="Arial"/>
          <w:bCs/>
          <w:sz w:val="18"/>
          <w:szCs w:val="18"/>
        </w:rPr>
      </w:pPr>
      <w:r w:rsidRPr="00491E54">
        <w:rPr>
          <w:rFonts w:ascii="Arial" w:hAnsi="Arial" w:cs="Arial"/>
          <w:bCs/>
          <w:sz w:val="18"/>
          <w:szCs w:val="18"/>
        </w:rPr>
        <w:t>Syndicates with shared reinsurance arrangements must comply with the following requirements unless otherwise agreed with Lloyd’s:</w:t>
      </w:r>
    </w:p>
    <w:p w14:paraId="5B9F0D3F" w14:textId="7E867AF9" w:rsidR="00491E54" w:rsidRPr="00AE6D6C" w:rsidRDefault="00491E54" w:rsidP="007533D0">
      <w:pPr>
        <w:pStyle w:val="ListParagraph"/>
        <w:numPr>
          <w:ilvl w:val="0"/>
          <w:numId w:val="36"/>
        </w:numPr>
        <w:tabs>
          <w:tab w:val="num" w:pos="85"/>
          <w:tab w:val="num" w:pos="369"/>
          <w:tab w:val="right" w:pos="5897"/>
        </w:tabs>
        <w:spacing w:after="120" w:line="240" w:lineRule="atLeast"/>
        <w:rPr>
          <w:rFonts w:ascii="Arial" w:hAnsi="Arial"/>
          <w:sz w:val="18"/>
        </w:rPr>
      </w:pPr>
      <w:r w:rsidRPr="00AE6D6C">
        <w:rPr>
          <w:rFonts w:ascii="Arial" w:hAnsi="Arial"/>
          <w:sz w:val="18"/>
        </w:rPr>
        <w:t>Shared reinsurance arrangements should clearly set out which elements are shared and which are not.  This includes consideration of premium, limits, excess, any funding or collateral provision, and where appropriate the inclusion of a non-avoidance provision to ensure that in the event of a dispute between the reinsurer and a reinsured other than the syndicate(s), reinsurers will continue to honour their contractual obligations to the syndicate(s) and will not seek to avoid the reinsurance contract with the syndicate(s) as a result of that dispute.</w:t>
      </w:r>
    </w:p>
    <w:p w14:paraId="7FCC04C5" w14:textId="40370CD5" w:rsidR="00491E54" w:rsidRPr="001D5ED0" w:rsidRDefault="00491E54" w:rsidP="007533D0">
      <w:pPr>
        <w:pStyle w:val="ListParagraph"/>
        <w:numPr>
          <w:ilvl w:val="0"/>
          <w:numId w:val="36"/>
        </w:numPr>
        <w:tabs>
          <w:tab w:val="num" w:pos="85"/>
          <w:tab w:val="num" w:pos="369"/>
          <w:tab w:val="right" w:pos="5897"/>
        </w:tabs>
        <w:spacing w:after="120" w:line="240" w:lineRule="atLeast"/>
        <w:rPr>
          <w:rFonts w:ascii="Arial" w:hAnsi="Arial"/>
          <w:sz w:val="18"/>
        </w:rPr>
      </w:pPr>
      <w:r w:rsidRPr="00AE6D6C">
        <w:rPr>
          <w:rFonts w:ascii="Arial" w:hAnsi="Arial"/>
          <w:sz w:val="18"/>
        </w:rPr>
        <w:lastRenderedPageBreak/>
        <w:t>All premiums (including reinstatement premiums and adjustments) and recoveries must be allocated in a clearly defined and equitable manner. This allocation should be reviewed in the event of material change in exposure or erosion due to actual loss during the contract period, with appropriate consideration of any impact on net risk, expected profitability and</w:t>
      </w:r>
      <w:r w:rsidRPr="001D5ED0">
        <w:rPr>
          <w:rFonts w:ascii="Arial" w:hAnsi="Arial"/>
          <w:sz w:val="18"/>
        </w:rPr>
        <w:t>/or capital requirements.</w:t>
      </w:r>
    </w:p>
    <w:p w14:paraId="50E0066E" w14:textId="4BA71BE4" w:rsidR="00491E54" w:rsidRPr="001D5ED0" w:rsidRDefault="00491E54" w:rsidP="007533D0">
      <w:pPr>
        <w:pStyle w:val="ListParagraph"/>
        <w:numPr>
          <w:ilvl w:val="0"/>
          <w:numId w:val="36"/>
        </w:numPr>
        <w:tabs>
          <w:tab w:val="num" w:pos="85"/>
          <w:tab w:val="num" w:pos="369"/>
          <w:tab w:val="right" w:pos="5897"/>
        </w:tabs>
        <w:spacing w:after="120" w:line="240" w:lineRule="atLeast"/>
        <w:rPr>
          <w:rFonts w:ascii="Arial" w:hAnsi="Arial"/>
          <w:sz w:val="18"/>
        </w:rPr>
      </w:pPr>
      <w:r w:rsidRPr="001D5ED0">
        <w:rPr>
          <w:rFonts w:ascii="Arial" w:hAnsi="Arial"/>
          <w:sz w:val="18"/>
        </w:rPr>
        <w:t>The managing agent board is required to formally record that it has considered these requirements and is satisfied that each shared reinsurance arrangement:</w:t>
      </w:r>
    </w:p>
    <w:p w14:paraId="3D639662" w14:textId="0303C3DD" w:rsidR="00491E54" w:rsidRPr="001D5ED0" w:rsidRDefault="00491E54" w:rsidP="007533D0">
      <w:pPr>
        <w:pStyle w:val="ListParagraph"/>
        <w:numPr>
          <w:ilvl w:val="0"/>
          <w:numId w:val="37"/>
        </w:numPr>
        <w:tabs>
          <w:tab w:val="num" w:pos="880"/>
          <w:tab w:val="num" w:pos="1525"/>
          <w:tab w:val="right" w:pos="5897"/>
          <w:tab w:val="right" w:pos="9582"/>
        </w:tabs>
        <w:spacing w:after="120" w:line="240" w:lineRule="atLeast"/>
        <w:rPr>
          <w:rFonts w:ascii="Arial" w:hAnsi="Arial" w:cs="Arial"/>
          <w:sz w:val="18"/>
          <w:szCs w:val="18"/>
        </w:rPr>
      </w:pPr>
      <w:r w:rsidRPr="001D5ED0">
        <w:rPr>
          <w:rFonts w:ascii="Arial" w:hAnsi="Arial" w:cs="Arial"/>
          <w:sz w:val="18"/>
          <w:szCs w:val="18"/>
        </w:rPr>
        <w:t xml:space="preserve">Complies with these requirements </w:t>
      </w:r>
    </w:p>
    <w:p w14:paraId="11B34342" w14:textId="77777777" w:rsidR="009D4401" w:rsidRDefault="00491E54" w:rsidP="009D4401">
      <w:pPr>
        <w:pStyle w:val="ListParagraph"/>
        <w:numPr>
          <w:ilvl w:val="0"/>
          <w:numId w:val="37"/>
        </w:numPr>
        <w:tabs>
          <w:tab w:val="num" w:pos="880"/>
          <w:tab w:val="num" w:pos="1525"/>
          <w:tab w:val="right" w:pos="5897"/>
          <w:tab w:val="right" w:pos="9582"/>
        </w:tabs>
        <w:spacing w:after="120" w:line="240" w:lineRule="atLeast"/>
        <w:rPr>
          <w:rFonts w:ascii="Arial" w:hAnsi="Arial" w:cs="Arial"/>
          <w:sz w:val="18"/>
          <w:szCs w:val="18"/>
        </w:rPr>
      </w:pPr>
      <w:r w:rsidRPr="001D5ED0">
        <w:rPr>
          <w:rFonts w:ascii="Arial" w:hAnsi="Arial" w:cs="Arial"/>
          <w:sz w:val="18"/>
          <w:szCs w:val="18"/>
        </w:rPr>
        <w:t>Is structurally and economically effective</w:t>
      </w:r>
    </w:p>
    <w:p w14:paraId="2C6EF6B8" w14:textId="1714BD6A" w:rsidR="00491E54" w:rsidRPr="009D4401" w:rsidRDefault="00491E54" w:rsidP="009D4401">
      <w:pPr>
        <w:pStyle w:val="ListParagraph"/>
        <w:numPr>
          <w:ilvl w:val="0"/>
          <w:numId w:val="37"/>
        </w:numPr>
        <w:tabs>
          <w:tab w:val="num" w:pos="880"/>
          <w:tab w:val="num" w:pos="1525"/>
          <w:tab w:val="right" w:pos="5897"/>
          <w:tab w:val="right" w:pos="9582"/>
        </w:tabs>
        <w:spacing w:after="120" w:line="240" w:lineRule="atLeast"/>
        <w:rPr>
          <w:rFonts w:ascii="Arial" w:hAnsi="Arial" w:cs="Arial"/>
          <w:sz w:val="18"/>
          <w:szCs w:val="18"/>
        </w:rPr>
      </w:pPr>
      <w:r w:rsidRPr="009D4401">
        <w:rPr>
          <w:rFonts w:ascii="Arial" w:hAnsi="Arial" w:cs="Arial"/>
          <w:sz w:val="18"/>
          <w:szCs w:val="18"/>
        </w:rPr>
        <w:t xml:space="preserve">Is in the best interests of the members of the syndicate </w:t>
      </w:r>
      <w:r w:rsidRPr="009D4401">
        <w:rPr>
          <w:rFonts w:ascii="Arial" w:hAnsi="Arial"/>
          <w:strike/>
          <w:sz w:val="18"/>
          <w:szCs w:val="18"/>
        </w:rPr>
        <w:t xml:space="preserve"> </w:t>
      </w:r>
    </w:p>
    <w:p w14:paraId="37FBA8E4" w14:textId="77777777" w:rsidR="00491E54" w:rsidRPr="001D5ED0" w:rsidRDefault="00491E54" w:rsidP="00491E54">
      <w:pPr>
        <w:tabs>
          <w:tab w:val="right" w:pos="5897"/>
        </w:tabs>
        <w:spacing w:line="240" w:lineRule="atLeast"/>
        <w:ind w:left="85"/>
        <w:rPr>
          <w:rFonts w:ascii="Arial" w:hAnsi="Arial"/>
          <w:sz w:val="18"/>
        </w:rPr>
      </w:pPr>
    </w:p>
    <w:p w14:paraId="4C8B0792" w14:textId="75EF9304" w:rsidR="00491E54" w:rsidRPr="001D5ED0" w:rsidRDefault="00491E54" w:rsidP="59106796">
      <w:pPr>
        <w:tabs>
          <w:tab w:val="right" w:pos="5897"/>
        </w:tabs>
        <w:spacing w:after="240" w:line="240" w:lineRule="atLeast"/>
        <w:rPr>
          <w:rFonts w:ascii="Arial" w:hAnsi="Arial" w:cs="Arial"/>
          <w:sz w:val="18"/>
          <w:szCs w:val="18"/>
        </w:rPr>
      </w:pPr>
      <w:r w:rsidRPr="001D5ED0">
        <w:rPr>
          <w:rFonts w:ascii="Arial" w:hAnsi="Arial" w:cs="Arial"/>
          <w:sz w:val="18"/>
          <w:szCs w:val="18"/>
        </w:rPr>
        <w:t xml:space="preserve">The managing agent </w:t>
      </w:r>
      <w:r w:rsidR="53ED5D1B" w:rsidRPr="001D5ED0">
        <w:rPr>
          <w:rFonts w:ascii="Arial" w:hAnsi="Arial" w:cs="Arial"/>
          <w:sz w:val="18"/>
          <w:szCs w:val="18"/>
        </w:rPr>
        <w:t>must hold and maintain copies of the records and must be able to</w:t>
      </w:r>
      <w:r w:rsidR="0011793B" w:rsidRPr="001D5ED0">
        <w:rPr>
          <w:rFonts w:ascii="Arial" w:hAnsi="Arial" w:cs="Arial"/>
          <w:sz w:val="18"/>
          <w:szCs w:val="18"/>
        </w:rPr>
        <w:t xml:space="preserve"> </w:t>
      </w:r>
      <w:r w:rsidRPr="001D5ED0">
        <w:rPr>
          <w:rFonts w:ascii="Arial" w:hAnsi="Arial" w:cs="Arial"/>
          <w:sz w:val="18"/>
          <w:szCs w:val="18"/>
        </w:rPr>
        <w:t>provide</w:t>
      </w:r>
      <w:r w:rsidR="046D1DE4" w:rsidRPr="001D5ED0">
        <w:rPr>
          <w:rFonts w:ascii="Arial" w:hAnsi="Arial" w:cs="Arial"/>
          <w:sz w:val="18"/>
          <w:szCs w:val="18"/>
        </w:rPr>
        <w:t xml:space="preserve"> them to</w:t>
      </w:r>
      <w:r w:rsidRPr="001D5ED0">
        <w:rPr>
          <w:rFonts w:ascii="Arial" w:hAnsi="Arial" w:cs="Arial"/>
          <w:sz w:val="18"/>
          <w:szCs w:val="18"/>
        </w:rPr>
        <w:t xml:space="preserve"> Lloyd’s Outwards Reinsurance team </w:t>
      </w:r>
      <w:r w:rsidR="6618CEE6" w:rsidRPr="001D5ED0">
        <w:rPr>
          <w:rFonts w:ascii="Arial" w:hAnsi="Arial" w:cs="Arial"/>
          <w:sz w:val="18"/>
          <w:szCs w:val="18"/>
        </w:rPr>
        <w:t>upon request</w:t>
      </w:r>
      <w:r w:rsidR="001D5ED0" w:rsidRPr="001D5ED0">
        <w:rPr>
          <w:rFonts w:ascii="Arial" w:hAnsi="Arial" w:cs="Arial"/>
          <w:sz w:val="18"/>
          <w:szCs w:val="18"/>
        </w:rPr>
        <w:t>.</w:t>
      </w:r>
    </w:p>
    <w:p w14:paraId="0CAE5697" w14:textId="77777777" w:rsidR="00491E54" w:rsidRPr="00491E54" w:rsidRDefault="00491E54" w:rsidP="00491E54">
      <w:pPr>
        <w:tabs>
          <w:tab w:val="right" w:pos="5897"/>
        </w:tabs>
        <w:spacing w:after="240" w:line="240" w:lineRule="atLeast"/>
        <w:rPr>
          <w:rFonts w:ascii="Arial" w:hAnsi="Arial" w:cs="Arial"/>
          <w:bCs/>
          <w:sz w:val="18"/>
          <w:szCs w:val="18"/>
        </w:rPr>
      </w:pPr>
      <w:r w:rsidRPr="00491E54">
        <w:rPr>
          <w:rFonts w:ascii="Arial" w:hAnsi="Arial"/>
          <w:sz w:val="18"/>
        </w:rPr>
        <w:t>Managing Agents should note that the payment or transfer of assets from or to each syndicate’s Premiums Trust Fund accounts must be in accordance with the terms of the applicable Premium Trust Deed.  A syndicate’s Premiums Trust Funds are not to be used to fund the obligations of other syndicates or other non-Lloyd’s reinsured entities (other than where this may be permitted by the Premium Trust Deed, for which the managing agent may require appropriate legal advice).</w:t>
      </w:r>
    </w:p>
    <w:p w14:paraId="173C9D93" w14:textId="77777777" w:rsidR="00491E54" w:rsidRPr="00491E54" w:rsidRDefault="00491E54" w:rsidP="00491E54">
      <w:pPr>
        <w:keepNext/>
        <w:spacing w:line="280" w:lineRule="atLeast"/>
        <w:rPr>
          <w:rFonts w:ascii="Arial" w:hAnsi="Arial" w:cs="Arial"/>
          <w:b/>
          <w:color w:val="1E35BF"/>
          <w:sz w:val="22"/>
          <w:szCs w:val="22"/>
          <w:lang w:val="en-US" w:eastAsia="en-US"/>
        </w:rPr>
      </w:pPr>
      <w:r w:rsidRPr="00491E54">
        <w:rPr>
          <w:rFonts w:ascii="Arial" w:hAnsi="Arial" w:cs="Arial"/>
          <w:b/>
          <w:color w:val="1E35BF"/>
          <w:sz w:val="22"/>
          <w:szCs w:val="22"/>
          <w:lang w:val="en-US" w:eastAsia="en-US"/>
        </w:rPr>
        <w:t xml:space="preserve">Inter-syndicate reinsurance </w:t>
      </w:r>
    </w:p>
    <w:p w14:paraId="0B75C528" w14:textId="77777777" w:rsidR="00491E54" w:rsidRPr="00491E54" w:rsidRDefault="00491E54" w:rsidP="00491E54">
      <w:pPr>
        <w:keepNext/>
        <w:spacing w:line="280" w:lineRule="atLeast"/>
        <w:rPr>
          <w:rFonts w:ascii="Arial" w:hAnsi="Arial" w:cs="Arial"/>
          <w:b/>
          <w:color w:val="1E35BF"/>
          <w:sz w:val="22"/>
          <w:szCs w:val="22"/>
          <w:lang w:val="en-US" w:eastAsia="en-US"/>
        </w:rPr>
      </w:pPr>
    </w:p>
    <w:p w14:paraId="40193E36" w14:textId="3A906824" w:rsidR="00491E54" w:rsidRPr="00836A37" w:rsidRDefault="00491E54" w:rsidP="00836A37">
      <w:pPr>
        <w:tabs>
          <w:tab w:val="right" w:pos="5897"/>
        </w:tabs>
        <w:spacing w:after="240" w:line="240" w:lineRule="atLeast"/>
        <w:rPr>
          <w:rFonts w:ascii="Arial" w:hAnsi="Arial" w:cs="Arial"/>
          <w:bCs/>
          <w:sz w:val="18"/>
          <w:szCs w:val="18"/>
        </w:rPr>
      </w:pPr>
      <w:r w:rsidRPr="00836A37">
        <w:rPr>
          <w:rFonts w:ascii="Arial" w:hAnsi="Arial" w:cs="Arial"/>
          <w:bCs/>
          <w:sz w:val="18"/>
          <w:szCs w:val="18"/>
        </w:rPr>
        <w:t>Managing agents must not permit a syndicate managed by it to reinsure or be reinsured by another syndicate managed by it, or by a related managing agent, unless:</w:t>
      </w:r>
    </w:p>
    <w:p w14:paraId="23747DAD" w14:textId="5A9F69B1" w:rsidR="00491E54" w:rsidRPr="006E2946" w:rsidRDefault="00491E54" w:rsidP="007533D0">
      <w:pPr>
        <w:pStyle w:val="ListParagraph"/>
        <w:numPr>
          <w:ilvl w:val="0"/>
          <w:numId w:val="38"/>
        </w:numPr>
        <w:tabs>
          <w:tab w:val="num" w:pos="85"/>
          <w:tab w:val="num" w:pos="369"/>
          <w:tab w:val="right" w:pos="5897"/>
        </w:tabs>
        <w:spacing w:after="120" w:line="240" w:lineRule="atLeast"/>
        <w:rPr>
          <w:rFonts w:ascii="Arial" w:hAnsi="Arial"/>
          <w:sz w:val="18"/>
        </w:rPr>
      </w:pPr>
      <w:r w:rsidRPr="006E2946">
        <w:rPr>
          <w:rFonts w:ascii="Arial" w:hAnsi="Arial"/>
          <w:sz w:val="18"/>
        </w:rPr>
        <w:t>The managing agent of each syndicate is satisfied on reasonable grounds that the reinsurance is in the interests of all of the members of its respective syndicate</w:t>
      </w:r>
    </w:p>
    <w:p w14:paraId="47062A71" w14:textId="745DE40F" w:rsidR="00491E54" w:rsidRPr="006E2946" w:rsidRDefault="00491E54" w:rsidP="007533D0">
      <w:pPr>
        <w:pStyle w:val="ListParagraph"/>
        <w:numPr>
          <w:ilvl w:val="0"/>
          <w:numId w:val="38"/>
        </w:numPr>
        <w:tabs>
          <w:tab w:val="num" w:pos="85"/>
          <w:tab w:val="num" w:pos="369"/>
          <w:tab w:val="right" w:pos="5897"/>
        </w:tabs>
        <w:spacing w:after="120" w:line="240" w:lineRule="atLeast"/>
        <w:rPr>
          <w:rFonts w:ascii="Arial" w:hAnsi="Arial"/>
          <w:sz w:val="18"/>
        </w:rPr>
      </w:pPr>
      <w:r w:rsidRPr="006E2946">
        <w:rPr>
          <w:rFonts w:ascii="Arial" w:hAnsi="Arial"/>
          <w:sz w:val="18"/>
        </w:rPr>
        <w:t>The reinsurance is on terms which are fair and reasonable as respects both the reinsured syndicate and the reinsuring syndicate</w:t>
      </w:r>
    </w:p>
    <w:p w14:paraId="52970DA9" w14:textId="763493F7" w:rsidR="00491E54" w:rsidRPr="006E2946" w:rsidRDefault="00491E54" w:rsidP="007533D0">
      <w:pPr>
        <w:pStyle w:val="ListParagraph"/>
        <w:numPr>
          <w:ilvl w:val="0"/>
          <w:numId w:val="38"/>
        </w:numPr>
        <w:tabs>
          <w:tab w:val="num" w:pos="85"/>
          <w:tab w:val="num" w:pos="369"/>
          <w:tab w:val="right" w:pos="5897"/>
        </w:tabs>
        <w:spacing w:after="120" w:line="240" w:lineRule="atLeast"/>
        <w:rPr>
          <w:rFonts w:ascii="Arial" w:hAnsi="Arial"/>
          <w:sz w:val="18"/>
        </w:rPr>
      </w:pPr>
      <w:r w:rsidRPr="006E2946">
        <w:rPr>
          <w:rFonts w:ascii="Arial" w:hAnsi="Arial"/>
          <w:sz w:val="18"/>
        </w:rPr>
        <w:t xml:space="preserve">The reinsurance is of a type and for a class of business that the reinsuring syndicate has agreement from Lloyd’s to underwrite </w:t>
      </w:r>
    </w:p>
    <w:p w14:paraId="07F3F9B8" w14:textId="1555F510" w:rsidR="00491E54" w:rsidRPr="00836A37" w:rsidRDefault="00491E54" w:rsidP="007533D0">
      <w:pPr>
        <w:pStyle w:val="ListParagraph"/>
        <w:numPr>
          <w:ilvl w:val="0"/>
          <w:numId w:val="38"/>
        </w:numPr>
        <w:tabs>
          <w:tab w:val="num" w:pos="85"/>
          <w:tab w:val="num" w:pos="369"/>
          <w:tab w:val="right" w:pos="5897"/>
        </w:tabs>
        <w:spacing w:after="120" w:line="240" w:lineRule="atLeast"/>
        <w:rPr>
          <w:rFonts w:ascii="Arial" w:hAnsi="Arial"/>
          <w:sz w:val="18"/>
        </w:rPr>
      </w:pPr>
      <w:r w:rsidRPr="00836A37">
        <w:rPr>
          <w:rFonts w:ascii="Arial" w:hAnsi="Arial"/>
          <w:sz w:val="18"/>
        </w:rPr>
        <w:t xml:space="preserve">The reinsurance consistent with the approved reinsurance purchasing strategy of the reinsured syndicate </w:t>
      </w:r>
    </w:p>
    <w:p w14:paraId="35BFBBD8" w14:textId="29233385" w:rsidR="00491E54" w:rsidRPr="00836A37" w:rsidRDefault="00491E54" w:rsidP="007533D0">
      <w:pPr>
        <w:pStyle w:val="ListParagraph"/>
        <w:numPr>
          <w:ilvl w:val="0"/>
          <w:numId w:val="38"/>
        </w:numPr>
        <w:tabs>
          <w:tab w:val="num" w:pos="85"/>
          <w:tab w:val="num" w:pos="369"/>
          <w:tab w:val="right" w:pos="5897"/>
        </w:tabs>
        <w:spacing w:after="120" w:line="240" w:lineRule="atLeast"/>
        <w:rPr>
          <w:rFonts w:ascii="Arial" w:hAnsi="Arial"/>
          <w:sz w:val="18"/>
        </w:rPr>
      </w:pPr>
      <w:r w:rsidRPr="00836A37">
        <w:rPr>
          <w:rFonts w:ascii="Arial" w:hAnsi="Arial"/>
          <w:sz w:val="18"/>
        </w:rPr>
        <w:t xml:space="preserve">The reinsurance has been negotiated, agreed and operated on an “arm’s length” commercial basis. Where the reinsuring syndicate is the leading or sole reinsurer this should include an independent (whether internal or external) assessment of risk transfer pricing. </w:t>
      </w:r>
    </w:p>
    <w:p w14:paraId="1796298F" w14:textId="77777777" w:rsidR="00491E54" w:rsidRPr="00491E54" w:rsidRDefault="00491E54" w:rsidP="00491E54">
      <w:pPr>
        <w:tabs>
          <w:tab w:val="right" w:pos="5897"/>
        </w:tabs>
        <w:spacing w:line="240" w:lineRule="atLeast"/>
        <w:ind w:left="85"/>
        <w:rPr>
          <w:rFonts w:ascii="Arial" w:hAnsi="Arial"/>
          <w:sz w:val="18"/>
        </w:rPr>
      </w:pPr>
    </w:p>
    <w:p w14:paraId="76C50F7D" w14:textId="77777777" w:rsidR="00491E54" w:rsidRPr="001D5ED0" w:rsidRDefault="00491E54" w:rsidP="00491E54">
      <w:pPr>
        <w:tabs>
          <w:tab w:val="right" w:pos="5897"/>
        </w:tabs>
        <w:spacing w:after="240" w:line="240" w:lineRule="atLeast"/>
        <w:rPr>
          <w:rFonts w:ascii="Arial" w:hAnsi="Arial" w:cs="Arial"/>
          <w:bCs/>
          <w:sz w:val="18"/>
          <w:szCs w:val="18"/>
        </w:rPr>
      </w:pPr>
      <w:r w:rsidRPr="00491E54">
        <w:rPr>
          <w:rFonts w:ascii="Arial" w:hAnsi="Arial" w:cs="Arial"/>
          <w:bCs/>
          <w:sz w:val="18"/>
          <w:szCs w:val="18"/>
        </w:rPr>
        <w:t xml:space="preserve">The managing agent(s) shall make and retain proper records of all inter-syndicate reinsurance arrangements.  These should include but not be limited to a declaration for each transaction which has been signed by a member of the managing agent board and the Active Underwriter for each syndicate, declaring that 1 to 5 above have been complied with in full.  </w:t>
      </w:r>
    </w:p>
    <w:p w14:paraId="00F025A0" w14:textId="02C31AD1" w:rsidR="00491E54" w:rsidRPr="001D5ED0" w:rsidRDefault="00491E54" w:rsidP="59106796">
      <w:pPr>
        <w:tabs>
          <w:tab w:val="right" w:pos="5897"/>
        </w:tabs>
        <w:spacing w:after="240" w:line="240" w:lineRule="atLeast"/>
        <w:rPr>
          <w:rFonts w:ascii="Arial" w:hAnsi="Arial" w:cs="Arial"/>
          <w:sz w:val="18"/>
          <w:szCs w:val="18"/>
        </w:rPr>
      </w:pPr>
      <w:r w:rsidRPr="001D5ED0">
        <w:rPr>
          <w:rFonts w:ascii="Arial" w:hAnsi="Arial" w:cs="Arial"/>
          <w:sz w:val="18"/>
          <w:szCs w:val="18"/>
        </w:rPr>
        <w:t>The managing agent shall</w:t>
      </w:r>
      <w:r w:rsidR="7D528B94" w:rsidRPr="001D5ED0">
        <w:rPr>
          <w:rFonts w:ascii="Arial" w:hAnsi="Arial" w:cs="Arial"/>
          <w:sz w:val="18"/>
          <w:szCs w:val="18"/>
        </w:rPr>
        <w:t xml:space="preserve"> retain the signed declarations and make them available to</w:t>
      </w:r>
      <w:r w:rsidR="00267FA2" w:rsidRPr="001D5ED0">
        <w:rPr>
          <w:rFonts w:ascii="Arial" w:hAnsi="Arial" w:cs="Arial"/>
          <w:sz w:val="18"/>
          <w:szCs w:val="18"/>
        </w:rPr>
        <w:t xml:space="preserve"> </w:t>
      </w:r>
      <w:r w:rsidRPr="001D5ED0">
        <w:rPr>
          <w:rFonts w:ascii="Arial" w:hAnsi="Arial" w:cs="Arial"/>
          <w:sz w:val="18"/>
          <w:szCs w:val="18"/>
        </w:rPr>
        <w:t xml:space="preserve">Lloyd’s Outwards Reinsurance team </w:t>
      </w:r>
      <w:r w:rsidR="2B0F0283" w:rsidRPr="001D5ED0">
        <w:rPr>
          <w:rFonts w:ascii="Arial" w:hAnsi="Arial" w:cs="Arial"/>
          <w:sz w:val="18"/>
          <w:szCs w:val="18"/>
        </w:rPr>
        <w:t>upon reque</w:t>
      </w:r>
      <w:r w:rsidR="001D5ED0" w:rsidRPr="001D5ED0">
        <w:rPr>
          <w:rFonts w:ascii="Arial" w:hAnsi="Arial" w:cs="Arial"/>
          <w:sz w:val="18"/>
          <w:szCs w:val="18"/>
        </w:rPr>
        <w:t>st.</w:t>
      </w:r>
      <w:r w:rsidRPr="001D5ED0">
        <w:rPr>
          <w:rFonts w:ascii="Arial" w:hAnsi="Arial" w:cs="Arial"/>
          <w:sz w:val="18"/>
          <w:szCs w:val="18"/>
        </w:rPr>
        <w:t xml:space="preserve">   </w:t>
      </w:r>
    </w:p>
    <w:p w14:paraId="0BF74C24" w14:textId="2C3B0452" w:rsidR="00491E54" w:rsidRPr="001D5ED0" w:rsidRDefault="00491E54" w:rsidP="00A86B0B">
      <w:pPr>
        <w:tabs>
          <w:tab w:val="right" w:pos="5897"/>
        </w:tabs>
        <w:spacing w:after="240" w:line="240" w:lineRule="atLeast"/>
        <w:rPr>
          <w:rFonts w:ascii="Arial" w:hAnsi="Arial" w:cs="Arial"/>
          <w:bCs/>
          <w:sz w:val="18"/>
          <w:szCs w:val="18"/>
        </w:rPr>
      </w:pPr>
      <w:r w:rsidRPr="001D5ED0">
        <w:rPr>
          <w:rFonts w:ascii="Arial" w:hAnsi="Arial" w:cs="Arial"/>
          <w:bCs/>
          <w:sz w:val="18"/>
          <w:szCs w:val="18"/>
        </w:rPr>
        <w:t>This requirement should be read in conjunction with the requirements for “Disclosure of Related Party and Other Transactions which May Give Rise to a Conflict of Interest”.</w:t>
      </w:r>
    </w:p>
    <w:p w14:paraId="2930A9BA" w14:textId="77777777" w:rsidR="00491E54" w:rsidRPr="00491E54" w:rsidRDefault="00491E54" w:rsidP="00491E54">
      <w:pPr>
        <w:tabs>
          <w:tab w:val="right" w:pos="5897"/>
        </w:tabs>
        <w:spacing w:line="240" w:lineRule="atLeast"/>
        <w:ind w:left="-142"/>
        <w:rPr>
          <w:rFonts w:ascii="Arial" w:hAnsi="Arial" w:cs="Arial"/>
          <w:sz w:val="18"/>
          <w:szCs w:val="18"/>
        </w:rPr>
      </w:pPr>
    </w:p>
    <w:p w14:paraId="4AEC1FF2" w14:textId="77777777" w:rsidR="00491E54" w:rsidRPr="00491E54" w:rsidRDefault="00491E54" w:rsidP="001A55A3">
      <w:pPr>
        <w:pStyle w:val="Heading3"/>
      </w:pPr>
      <w:bookmarkStart w:id="10" w:name="_Toc236925683"/>
      <w:bookmarkStart w:id="11" w:name="_Hlk159346504"/>
      <w:bookmarkStart w:id="12" w:name="_Hlk534725628"/>
      <w:r w:rsidRPr="00491E54">
        <w:lastRenderedPageBreak/>
        <w:t>Disclosure of Related Party and Other Transactions which May Give Rise to a Conflict of Interest</w:t>
      </w:r>
      <w:bookmarkEnd w:id="10"/>
    </w:p>
    <w:bookmarkEnd w:id="11"/>
    <w:p w14:paraId="5F92612A" w14:textId="77777777" w:rsidR="00491E54" w:rsidRPr="00491E54" w:rsidRDefault="00491E54" w:rsidP="00491E54">
      <w:pPr>
        <w:keepNext/>
        <w:tabs>
          <w:tab w:val="right" w:pos="5897"/>
        </w:tabs>
        <w:outlineLvl w:val="1"/>
        <w:rPr>
          <w:rFonts w:ascii="Arial" w:hAnsi="Arial"/>
          <w:color w:val="1E35BF"/>
          <w:spacing w:val="-2"/>
          <w:kern w:val="28"/>
          <w:sz w:val="28"/>
          <w:szCs w:val="28"/>
        </w:rPr>
      </w:pPr>
    </w:p>
    <w:p w14:paraId="0DA66D1D" w14:textId="4D3ADCFE" w:rsidR="00491E54" w:rsidRPr="008D6D37" w:rsidRDefault="00491E54" w:rsidP="59106796">
      <w:pPr>
        <w:tabs>
          <w:tab w:val="right" w:pos="5897"/>
        </w:tabs>
        <w:spacing w:after="240" w:line="240" w:lineRule="atLeast"/>
        <w:rPr>
          <w:rFonts w:ascii="Arial" w:hAnsi="Arial" w:cs="Arial"/>
          <w:sz w:val="18"/>
          <w:szCs w:val="18"/>
        </w:rPr>
      </w:pPr>
      <w:r w:rsidRPr="59106796">
        <w:rPr>
          <w:rFonts w:ascii="Arial" w:hAnsi="Arial" w:cs="Arial"/>
          <w:sz w:val="18"/>
          <w:szCs w:val="18"/>
        </w:rPr>
        <w:t>Lloyd’s requires managing agents to disclose details relating to any association</w:t>
      </w:r>
      <w:r w:rsidR="48405C1A" w:rsidRPr="59106796">
        <w:rPr>
          <w:rFonts w:ascii="Arial" w:hAnsi="Arial" w:cs="Arial"/>
          <w:sz w:val="18"/>
          <w:szCs w:val="18"/>
        </w:rPr>
        <w:t>,</w:t>
      </w:r>
      <w:r w:rsidRPr="59106796">
        <w:rPr>
          <w:rFonts w:ascii="Arial" w:hAnsi="Arial" w:cs="Arial"/>
          <w:sz w:val="18"/>
          <w:szCs w:val="18"/>
        </w:rPr>
        <w:t xml:space="preserve"> or </w:t>
      </w:r>
      <w:r w:rsidR="4FFC17B6" w:rsidRPr="00CE724C">
        <w:rPr>
          <w:rFonts w:ascii="Arial" w:hAnsi="Arial" w:cs="Arial"/>
          <w:color w:val="002060"/>
          <w:sz w:val="18"/>
          <w:szCs w:val="18"/>
        </w:rPr>
        <w:t xml:space="preserve">any </w:t>
      </w:r>
      <w:r w:rsidRPr="59106796">
        <w:rPr>
          <w:rFonts w:ascii="Arial" w:hAnsi="Arial" w:cs="Arial"/>
          <w:sz w:val="18"/>
          <w:szCs w:val="18"/>
        </w:rPr>
        <w:t xml:space="preserve">current or proposed underwriting </w:t>
      </w:r>
      <w:r w:rsidRPr="008D6D37">
        <w:rPr>
          <w:rFonts w:ascii="Arial" w:hAnsi="Arial" w:cs="Arial"/>
          <w:sz w:val="18"/>
          <w:szCs w:val="18"/>
        </w:rPr>
        <w:t>transaction</w:t>
      </w:r>
      <w:r w:rsidR="4D9C1273" w:rsidRPr="008D6D37">
        <w:rPr>
          <w:rFonts w:ascii="Arial" w:hAnsi="Arial" w:cs="Arial"/>
          <w:sz w:val="18"/>
          <w:szCs w:val="18"/>
        </w:rPr>
        <w:t>, that</w:t>
      </w:r>
      <w:r w:rsidRPr="008D6D37">
        <w:rPr>
          <w:rFonts w:ascii="Arial" w:hAnsi="Arial" w:cs="Arial"/>
          <w:sz w:val="18"/>
          <w:szCs w:val="18"/>
        </w:rPr>
        <w:t xml:space="preserve"> may give rise to a conflict of interest.  These </w:t>
      </w:r>
      <w:r w:rsidRPr="008D6D37" w:rsidDel="00491E54">
        <w:rPr>
          <w:rFonts w:ascii="Arial" w:hAnsi="Arial" w:cs="Arial"/>
          <w:sz w:val="18"/>
          <w:szCs w:val="18"/>
        </w:rPr>
        <w:t>requirements</w:t>
      </w:r>
      <w:r w:rsidRPr="008D6D37">
        <w:rPr>
          <w:rFonts w:ascii="Arial" w:hAnsi="Arial" w:cs="Arial"/>
          <w:sz w:val="18"/>
          <w:szCs w:val="18"/>
        </w:rPr>
        <w:t xml:space="preserve"> derive from paragraph 14A of the Underwriting Byelaw.</w:t>
      </w:r>
    </w:p>
    <w:p w14:paraId="5A837ADB" w14:textId="05C26E5F" w:rsidR="56420150" w:rsidRPr="008D6D37" w:rsidRDefault="56420150" w:rsidP="59106796">
      <w:pPr>
        <w:tabs>
          <w:tab w:val="right" w:pos="5897"/>
        </w:tabs>
        <w:spacing w:after="240" w:line="240" w:lineRule="atLeast"/>
        <w:rPr>
          <w:rFonts w:ascii="Arial" w:hAnsi="Arial" w:cs="Arial"/>
          <w:sz w:val="18"/>
          <w:szCs w:val="18"/>
        </w:rPr>
      </w:pPr>
      <w:r w:rsidRPr="008D6D37">
        <w:rPr>
          <w:rFonts w:ascii="Arial" w:eastAsia="Arial" w:hAnsi="Arial" w:cs="Arial"/>
          <w:sz w:val="18"/>
          <w:szCs w:val="18"/>
        </w:rPr>
        <w:t xml:space="preserve">Disclosure must be </w:t>
      </w:r>
      <w:r w:rsidR="0080615C" w:rsidRPr="008D6D37">
        <w:rPr>
          <w:rFonts w:ascii="Arial" w:eastAsia="Arial" w:hAnsi="Arial" w:cs="Arial"/>
          <w:sz w:val="18"/>
          <w:szCs w:val="18"/>
        </w:rPr>
        <w:t>submitted</w:t>
      </w:r>
      <w:r w:rsidRPr="008D6D37">
        <w:rPr>
          <w:rFonts w:ascii="Arial" w:eastAsia="Arial" w:hAnsi="Arial" w:cs="Arial"/>
          <w:sz w:val="18"/>
          <w:szCs w:val="18"/>
        </w:rPr>
        <w:t xml:space="preserve"> to the managing agent’s Syndicate Performance Manag</w:t>
      </w:r>
      <w:r w:rsidR="007B505A" w:rsidRPr="008D6D37">
        <w:rPr>
          <w:rFonts w:ascii="Arial" w:eastAsia="Arial" w:hAnsi="Arial" w:cs="Arial"/>
          <w:sz w:val="18"/>
          <w:szCs w:val="18"/>
        </w:rPr>
        <w:t xml:space="preserve">er. </w:t>
      </w:r>
      <w:r w:rsidRPr="008D6D37">
        <w:rPr>
          <w:rFonts w:ascii="Arial" w:hAnsi="Arial" w:cs="Arial"/>
          <w:sz w:val="18"/>
          <w:szCs w:val="18"/>
        </w:rPr>
        <w:t>Managing agents must also make this information available to members of the relevant syndicate (or their members’ agents)</w:t>
      </w:r>
      <w:r w:rsidR="4193CF34" w:rsidRPr="008D6D37">
        <w:rPr>
          <w:rFonts w:ascii="Arial" w:hAnsi="Arial" w:cs="Arial"/>
          <w:sz w:val="18"/>
          <w:szCs w:val="18"/>
        </w:rPr>
        <w:t>.</w:t>
      </w:r>
    </w:p>
    <w:p w14:paraId="61A9698C" w14:textId="3F95F01A" w:rsidR="4193CF34" w:rsidRPr="008D6D37" w:rsidRDefault="4193CF34" w:rsidP="59106796">
      <w:pPr>
        <w:tabs>
          <w:tab w:val="right" w:pos="5897"/>
        </w:tabs>
        <w:spacing w:after="240" w:line="240" w:lineRule="atLeast"/>
        <w:rPr>
          <w:rFonts w:ascii="Arial" w:hAnsi="Arial" w:cs="Arial"/>
          <w:sz w:val="18"/>
          <w:szCs w:val="18"/>
        </w:rPr>
      </w:pPr>
      <w:r w:rsidRPr="008D6D37">
        <w:rPr>
          <w:rFonts w:ascii="Arial" w:hAnsi="Arial" w:cs="Arial"/>
          <w:sz w:val="18"/>
          <w:szCs w:val="18"/>
        </w:rPr>
        <w:t>A disclosable insurance or reinsurance transaction includes one where the syndicate will either:</w:t>
      </w:r>
    </w:p>
    <w:p w14:paraId="13CBA105" w14:textId="77777777" w:rsidR="4193CF34" w:rsidRPr="008D6D37" w:rsidRDefault="4193CF34" w:rsidP="00C443AD">
      <w:pPr>
        <w:pStyle w:val="ListParagraph"/>
        <w:numPr>
          <w:ilvl w:val="0"/>
          <w:numId w:val="39"/>
        </w:numPr>
        <w:tabs>
          <w:tab w:val="num" w:pos="284"/>
          <w:tab w:val="right" w:pos="9582"/>
        </w:tabs>
        <w:spacing w:line="240" w:lineRule="atLeast"/>
        <w:ind w:left="284" w:hanging="284"/>
        <w:rPr>
          <w:rFonts w:ascii="Arial" w:hAnsi="Arial" w:cs="Arial"/>
          <w:sz w:val="18"/>
          <w:szCs w:val="18"/>
        </w:rPr>
      </w:pPr>
      <w:r w:rsidRPr="008D6D37">
        <w:rPr>
          <w:rFonts w:ascii="Arial" w:hAnsi="Arial" w:cs="Arial"/>
          <w:sz w:val="18"/>
          <w:szCs w:val="18"/>
        </w:rPr>
        <w:t>insure, reinsure or place reinsurance with or through a related party; or</w:t>
      </w:r>
    </w:p>
    <w:p w14:paraId="10DEC378" w14:textId="77777777" w:rsidR="4193CF34" w:rsidRPr="008D6D37" w:rsidRDefault="4193CF34" w:rsidP="00C443AD">
      <w:pPr>
        <w:pStyle w:val="ListParagraph"/>
        <w:numPr>
          <w:ilvl w:val="0"/>
          <w:numId w:val="39"/>
        </w:numPr>
        <w:tabs>
          <w:tab w:val="num" w:pos="284"/>
          <w:tab w:val="right" w:pos="9582"/>
        </w:tabs>
        <w:spacing w:line="240" w:lineRule="atLeast"/>
        <w:ind w:left="284" w:hanging="284"/>
        <w:rPr>
          <w:rFonts w:ascii="Arial" w:hAnsi="Arial" w:cs="Arial"/>
          <w:sz w:val="18"/>
          <w:szCs w:val="18"/>
        </w:rPr>
      </w:pPr>
      <w:r w:rsidRPr="008D6D37">
        <w:rPr>
          <w:rFonts w:ascii="Arial" w:hAnsi="Arial" w:cs="Arial"/>
          <w:sz w:val="18"/>
          <w:szCs w:val="18"/>
        </w:rPr>
        <w:t>insure, reinsure or place reinsurance with or through any person other than on an arms-length basis on ordinary commercial terms.</w:t>
      </w:r>
    </w:p>
    <w:p w14:paraId="4D416441" w14:textId="77777777" w:rsidR="59106796" w:rsidRPr="008D6D37" w:rsidRDefault="59106796" w:rsidP="59106796">
      <w:pPr>
        <w:tabs>
          <w:tab w:val="right" w:pos="5897"/>
        </w:tabs>
        <w:spacing w:line="240" w:lineRule="atLeast"/>
        <w:rPr>
          <w:rFonts w:ascii="Arial" w:hAnsi="Arial" w:cs="Arial"/>
          <w:sz w:val="18"/>
          <w:szCs w:val="18"/>
        </w:rPr>
      </w:pPr>
    </w:p>
    <w:p w14:paraId="15340851" w14:textId="25719912" w:rsidR="4193CF34" w:rsidRPr="008D6D37" w:rsidRDefault="4193CF34" w:rsidP="59106796">
      <w:pPr>
        <w:tabs>
          <w:tab w:val="right" w:pos="5897"/>
        </w:tabs>
        <w:spacing w:after="240" w:line="240" w:lineRule="atLeast"/>
        <w:rPr>
          <w:rFonts w:ascii="Arial" w:hAnsi="Arial" w:cs="Arial"/>
          <w:sz w:val="18"/>
          <w:szCs w:val="18"/>
        </w:rPr>
      </w:pPr>
      <w:r w:rsidRPr="008D6D37">
        <w:rPr>
          <w:rFonts w:ascii="Arial" w:hAnsi="Arial" w:cs="Arial"/>
          <w:sz w:val="18"/>
          <w:szCs w:val="18"/>
        </w:rPr>
        <w:t>For these purposes, “through” includes any person acting as an intermediary or broker.</w:t>
      </w:r>
    </w:p>
    <w:p w14:paraId="44B4B7BE" w14:textId="723CB9E5" w:rsidR="00491E54" w:rsidRPr="001F0941" w:rsidRDefault="5902B478" w:rsidP="59106796">
      <w:pPr>
        <w:tabs>
          <w:tab w:val="right" w:pos="5897"/>
        </w:tabs>
        <w:spacing w:after="240" w:line="240" w:lineRule="atLeast"/>
        <w:rPr>
          <w:rFonts w:ascii="Arial" w:hAnsi="Arial" w:cs="Arial"/>
          <w:strike/>
          <w:sz w:val="18"/>
          <w:szCs w:val="18"/>
        </w:rPr>
      </w:pPr>
      <w:r w:rsidRPr="59106796">
        <w:rPr>
          <w:rFonts w:ascii="Arial" w:hAnsi="Arial" w:cs="Arial"/>
          <w:sz w:val="18"/>
          <w:szCs w:val="18"/>
        </w:rPr>
        <w:t xml:space="preserve">Following </w:t>
      </w:r>
      <w:r w:rsidR="00491E54" w:rsidRPr="59106796">
        <w:rPr>
          <w:rFonts w:ascii="Arial" w:hAnsi="Arial" w:cs="Arial"/>
          <w:sz w:val="18"/>
          <w:szCs w:val="18"/>
        </w:rPr>
        <w:t xml:space="preserve">the Legislative Reform (Lloyd’s) </w:t>
      </w:r>
      <w:r w:rsidR="00491E54" w:rsidRPr="008D6D37">
        <w:rPr>
          <w:rFonts w:ascii="Arial" w:hAnsi="Arial" w:cs="Arial"/>
          <w:sz w:val="18"/>
          <w:szCs w:val="18"/>
        </w:rPr>
        <w:t xml:space="preserve">Order 2008, which repealed the </w:t>
      </w:r>
      <w:r w:rsidR="7144F806" w:rsidRPr="008D6D37">
        <w:rPr>
          <w:rFonts w:ascii="Arial" w:hAnsi="Arial" w:cs="Arial"/>
          <w:sz w:val="18"/>
          <w:szCs w:val="18"/>
        </w:rPr>
        <w:t xml:space="preserve">former </w:t>
      </w:r>
      <w:r w:rsidR="00491E54" w:rsidRPr="008D6D37">
        <w:rPr>
          <w:rFonts w:ascii="Arial" w:hAnsi="Arial" w:cs="Arial"/>
          <w:sz w:val="18"/>
          <w:szCs w:val="18"/>
        </w:rPr>
        <w:t xml:space="preserve">divestment provisions in Lloyd’s Act 1982 prohibiting associations between managing agents and brokers, disclosure requirements extend to transactions placed with or through an intermediary that is </w:t>
      </w:r>
      <w:r w:rsidR="198D79FF" w:rsidRPr="008D6D37">
        <w:rPr>
          <w:rFonts w:ascii="Arial" w:hAnsi="Arial" w:cs="Arial"/>
          <w:sz w:val="18"/>
          <w:szCs w:val="18"/>
        </w:rPr>
        <w:t>itself part</w:t>
      </w:r>
      <w:r w:rsidR="00B46395" w:rsidRPr="008D6D37">
        <w:rPr>
          <w:rFonts w:ascii="Arial" w:hAnsi="Arial" w:cs="Arial"/>
          <w:sz w:val="18"/>
          <w:szCs w:val="18"/>
        </w:rPr>
        <w:t xml:space="preserve"> </w:t>
      </w:r>
      <w:r w:rsidR="00491E54" w:rsidRPr="008D6D37">
        <w:rPr>
          <w:rFonts w:ascii="Arial" w:hAnsi="Arial" w:cs="Arial"/>
          <w:sz w:val="18"/>
          <w:szCs w:val="18"/>
        </w:rPr>
        <w:t>of the managing agent’s group.</w:t>
      </w:r>
    </w:p>
    <w:p w14:paraId="6FA64530" w14:textId="5AF8A12C" w:rsidR="305CB3FD" w:rsidRPr="008D6D37" w:rsidRDefault="305CB3FD" w:rsidP="133CC847">
      <w:pPr>
        <w:keepNext/>
        <w:spacing w:line="280" w:lineRule="atLeast"/>
        <w:rPr>
          <w:rFonts w:ascii="Arial" w:hAnsi="Arial" w:cs="Arial"/>
          <w:b/>
          <w:bCs/>
          <w:color w:val="0033CC"/>
          <w:sz w:val="22"/>
          <w:szCs w:val="22"/>
          <w:lang w:val="en-US" w:eastAsia="en-US"/>
        </w:rPr>
      </w:pPr>
      <w:r w:rsidRPr="008D6D37">
        <w:rPr>
          <w:rFonts w:ascii="Arial" w:eastAsia="Arial" w:hAnsi="Arial" w:cs="Arial"/>
          <w:b/>
          <w:bCs/>
          <w:color w:val="0033CC"/>
          <w:sz w:val="22"/>
          <w:szCs w:val="22"/>
          <w:lang w:val="en-US" w:eastAsia="en-US"/>
        </w:rPr>
        <w:t>Systems, controls and conflict management</w:t>
      </w:r>
    </w:p>
    <w:p w14:paraId="17E367F1" w14:textId="77777777" w:rsidR="00025379" w:rsidRPr="00031E14" w:rsidRDefault="00025379" w:rsidP="00031E14">
      <w:pPr>
        <w:keepNext/>
        <w:spacing w:line="280" w:lineRule="atLeast"/>
        <w:rPr>
          <w:rFonts w:ascii="Arial" w:hAnsi="Arial" w:cs="Arial"/>
          <w:b/>
          <w:strike/>
          <w:color w:val="1E35BF"/>
          <w:sz w:val="22"/>
          <w:szCs w:val="22"/>
          <w:lang w:val="en-US" w:eastAsia="en-US"/>
        </w:rPr>
      </w:pPr>
    </w:p>
    <w:p w14:paraId="5E48A2CA" w14:textId="212FFBDF" w:rsidR="00491E54" w:rsidRPr="008D6D37" w:rsidRDefault="25562892" w:rsidP="59106796">
      <w:pPr>
        <w:tabs>
          <w:tab w:val="right" w:pos="5897"/>
        </w:tabs>
        <w:spacing w:after="240" w:line="240" w:lineRule="atLeast"/>
        <w:rPr>
          <w:rFonts w:ascii="Arial" w:hAnsi="Arial" w:cs="Arial"/>
          <w:sz w:val="18"/>
          <w:szCs w:val="18"/>
        </w:rPr>
      </w:pPr>
      <w:r w:rsidRPr="008D6D37">
        <w:rPr>
          <w:rFonts w:ascii="Arial" w:hAnsi="Arial" w:cs="Arial"/>
          <w:sz w:val="18"/>
          <w:szCs w:val="18"/>
        </w:rPr>
        <w:t>A</w:t>
      </w:r>
      <w:r w:rsidR="00491E54" w:rsidRPr="008D6D37">
        <w:rPr>
          <w:rFonts w:ascii="Arial" w:hAnsi="Arial" w:cs="Arial"/>
          <w:sz w:val="18"/>
          <w:szCs w:val="18"/>
        </w:rPr>
        <w:t>s part of the business planning process</w:t>
      </w:r>
      <w:r w:rsidR="15493CD0" w:rsidRPr="008D6D37">
        <w:rPr>
          <w:rFonts w:ascii="Arial" w:hAnsi="Arial" w:cs="Arial"/>
          <w:sz w:val="18"/>
          <w:szCs w:val="18"/>
        </w:rPr>
        <w:t>, each managing agent</w:t>
      </w:r>
      <w:r w:rsidR="00491E54" w:rsidRPr="008D6D37">
        <w:rPr>
          <w:rFonts w:ascii="Arial" w:hAnsi="Arial" w:cs="Arial"/>
          <w:sz w:val="18"/>
          <w:szCs w:val="18"/>
        </w:rPr>
        <w:t xml:space="preserve"> </w:t>
      </w:r>
      <w:r w:rsidR="6C50B128" w:rsidRPr="008D6D37">
        <w:rPr>
          <w:rFonts w:ascii="Arial" w:hAnsi="Arial" w:cs="Arial"/>
          <w:sz w:val="18"/>
          <w:szCs w:val="18"/>
        </w:rPr>
        <w:t>must</w:t>
      </w:r>
      <w:r w:rsidR="00031E14" w:rsidRPr="008D6D37">
        <w:rPr>
          <w:rFonts w:ascii="Arial" w:hAnsi="Arial" w:cs="Arial"/>
          <w:sz w:val="18"/>
          <w:szCs w:val="18"/>
        </w:rPr>
        <w:t xml:space="preserve"> </w:t>
      </w:r>
      <w:r w:rsidR="00491E54" w:rsidRPr="008D6D37">
        <w:rPr>
          <w:rFonts w:ascii="Arial" w:hAnsi="Arial" w:cs="Arial"/>
          <w:sz w:val="18"/>
          <w:szCs w:val="18"/>
        </w:rPr>
        <w:t xml:space="preserve">provide a statement confirming that it has </w:t>
      </w:r>
      <w:r w:rsidR="7B70D03D" w:rsidRPr="008D6D37">
        <w:rPr>
          <w:rFonts w:ascii="Arial" w:hAnsi="Arial" w:cs="Arial"/>
          <w:sz w:val="18"/>
          <w:szCs w:val="18"/>
        </w:rPr>
        <w:t xml:space="preserve">effective </w:t>
      </w:r>
      <w:r w:rsidR="00491E54" w:rsidRPr="008D6D37">
        <w:rPr>
          <w:rFonts w:ascii="Arial" w:hAnsi="Arial" w:cs="Arial"/>
          <w:sz w:val="18"/>
          <w:szCs w:val="18"/>
        </w:rPr>
        <w:t xml:space="preserve">systems and controls in place for </w:t>
      </w:r>
      <w:r w:rsidR="354F7373" w:rsidRPr="008D6D37">
        <w:rPr>
          <w:rFonts w:ascii="Arial" w:hAnsi="Arial" w:cs="Arial"/>
          <w:sz w:val="18"/>
          <w:szCs w:val="18"/>
        </w:rPr>
        <w:t xml:space="preserve">identifying and managing conflicts of interest </w:t>
      </w:r>
      <w:r w:rsidR="0093131D" w:rsidRPr="008D6D37">
        <w:rPr>
          <w:rFonts w:ascii="Arial" w:hAnsi="Arial" w:cs="Arial"/>
          <w:sz w:val="18"/>
          <w:szCs w:val="18"/>
        </w:rPr>
        <w:t>i</w:t>
      </w:r>
      <w:r w:rsidR="00491E54" w:rsidRPr="008D6D37">
        <w:rPr>
          <w:rFonts w:ascii="Arial" w:hAnsi="Arial" w:cs="Arial"/>
          <w:sz w:val="18"/>
          <w:szCs w:val="18"/>
        </w:rPr>
        <w:t xml:space="preserve">n accordance with applicable Lloyd’s, PRA </w:t>
      </w:r>
      <w:r w:rsidR="0E35E0F1" w:rsidRPr="008D6D37">
        <w:rPr>
          <w:rFonts w:ascii="Arial" w:hAnsi="Arial" w:cs="Arial"/>
          <w:sz w:val="18"/>
          <w:szCs w:val="18"/>
        </w:rPr>
        <w:t>and</w:t>
      </w:r>
      <w:r w:rsidR="00491E54" w:rsidRPr="008D6D37">
        <w:rPr>
          <w:rFonts w:ascii="Arial" w:hAnsi="Arial" w:cs="Arial"/>
          <w:sz w:val="18"/>
          <w:szCs w:val="18"/>
        </w:rPr>
        <w:t xml:space="preserve"> FCA rules</w:t>
      </w:r>
      <w:r w:rsidR="0788BFB7" w:rsidRPr="008D6D37">
        <w:rPr>
          <w:rFonts w:ascii="Arial" w:hAnsi="Arial" w:cs="Arial"/>
          <w:sz w:val="18"/>
          <w:szCs w:val="18"/>
        </w:rPr>
        <w:t>), including those arising from related party relationships</w:t>
      </w:r>
      <w:r w:rsidR="00491E54" w:rsidRPr="008D6D37">
        <w:rPr>
          <w:rFonts w:ascii="Arial" w:hAnsi="Arial" w:cs="Arial"/>
          <w:sz w:val="18"/>
          <w:szCs w:val="18"/>
        </w:rPr>
        <w:t>.</w:t>
      </w:r>
    </w:p>
    <w:p w14:paraId="13D5D1DD" w14:textId="666F288F" w:rsidR="00491E54" w:rsidRPr="008D6D37" w:rsidRDefault="1F9C87D7" w:rsidP="00C443AD">
      <w:pPr>
        <w:tabs>
          <w:tab w:val="right" w:pos="5897"/>
        </w:tabs>
        <w:spacing w:line="240" w:lineRule="atLeast"/>
        <w:rPr>
          <w:rFonts w:ascii="Arial" w:eastAsia="Arial" w:hAnsi="Arial" w:cs="Arial"/>
          <w:sz w:val="18"/>
          <w:szCs w:val="18"/>
        </w:rPr>
      </w:pPr>
      <w:r w:rsidRPr="008D6D37">
        <w:rPr>
          <w:rFonts w:ascii="Arial" w:eastAsia="Arial" w:hAnsi="Arial" w:cs="Arial"/>
          <w:sz w:val="18"/>
          <w:szCs w:val="18"/>
        </w:rPr>
        <w:t>Managing agents must ensure that:</w:t>
      </w:r>
    </w:p>
    <w:p w14:paraId="6C0DB40F" w14:textId="0D7A84BC" w:rsidR="00491E54" w:rsidRPr="008D6D37" w:rsidRDefault="1F9C87D7" w:rsidP="00C443AD">
      <w:pPr>
        <w:pStyle w:val="ListParagraph"/>
        <w:numPr>
          <w:ilvl w:val="0"/>
          <w:numId w:val="2"/>
        </w:numPr>
        <w:spacing w:line="240" w:lineRule="atLeast"/>
        <w:ind w:left="405"/>
        <w:rPr>
          <w:rFonts w:ascii="Arial" w:eastAsia="Arial" w:hAnsi="Arial" w:cs="Arial"/>
          <w:sz w:val="18"/>
          <w:szCs w:val="18"/>
        </w:rPr>
      </w:pPr>
      <w:r w:rsidRPr="008D6D37">
        <w:rPr>
          <w:rFonts w:ascii="Arial" w:eastAsia="Arial" w:hAnsi="Arial" w:cs="Arial"/>
          <w:sz w:val="18"/>
          <w:szCs w:val="18"/>
        </w:rPr>
        <w:t>controls for managing conflicts of interest are documented</w:t>
      </w:r>
    </w:p>
    <w:p w14:paraId="5E716A27" w14:textId="6D33BAE3" w:rsidR="00491E54" w:rsidRPr="008D6D37" w:rsidRDefault="1F9C87D7" w:rsidP="00C443AD">
      <w:pPr>
        <w:pStyle w:val="ListParagraph"/>
        <w:numPr>
          <w:ilvl w:val="0"/>
          <w:numId w:val="2"/>
        </w:numPr>
        <w:spacing w:line="240" w:lineRule="atLeast"/>
        <w:ind w:left="405"/>
        <w:rPr>
          <w:rFonts w:ascii="Arial" w:eastAsia="Arial" w:hAnsi="Arial" w:cs="Arial"/>
          <w:sz w:val="18"/>
          <w:szCs w:val="18"/>
        </w:rPr>
      </w:pPr>
      <w:r w:rsidRPr="008D6D37">
        <w:rPr>
          <w:rFonts w:ascii="Arial" w:eastAsia="Arial" w:hAnsi="Arial" w:cs="Arial"/>
          <w:sz w:val="18"/>
          <w:szCs w:val="18"/>
        </w:rPr>
        <w:t>these controls are maintained and kept up to date</w:t>
      </w:r>
    </w:p>
    <w:p w14:paraId="3475B673" w14:textId="63120734" w:rsidR="00491E54" w:rsidRPr="008D6D37" w:rsidRDefault="1F9C87D7" w:rsidP="00C443AD">
      <w:pPr>
        <w:pStyle w:val="ListParagraph"/>
        <w:numPr>
          <w:ilvl w:val="0"/>
          <w:numId w:val="2"/>
        </w:numPr>
        <w:spacing w:line="240" w:lineRule="atLeast"/>
        <w:ind w:left="405"/>
        <w:rPr>
          <w:rFonts w:ascii="Arial" w:eastAsia="Arial" w:hAnsi="Arial" w:cs="Arial"/>
          <w:sz w:val="18"/>
          <w:szCs w:val="18"/>
        </w:rPr>
      </w:pPr>
      <w:r w:rsidRPr="008D6D37">
        <w:rPr>
          <w:rFonts w:ascii="Arial" w:eastAsia="Arial" w:hAnsi="Arial" w:cs="Arial"/>
          <w:sz w:val="18"/>
          <w:szCs w:val="18"/>
        </w:rPr>
        <w:t xml:space="preserve">details of the controls can be supplied to Lloyd’s in accordance with applicable reporting requirements or on request. </w:t>
      </w:r>
    </w:p>
    <w:p w14:paraId="5D9850C2" w14:textId="77777777" w:rsidR="00393C04" w:rsidRPr="008D6D37" w:rsidRDefault="00393C04" w:rsidP="00C443AD">
      <w:pPr>
        <w:spacing w:line="240" w:lineRule="atLeast"/>
        <w:rPr>
          <w:rFonts w:ascii="Arial" w:eastAsia="Arial" w:hAnsi="Arial" w:cs="Arial"/>
          <w:sz w:val="18"/>
          <w:szCs w:val="18"/>
        </w:rPr>
      </w:pPr>
    </w:p>
    <w:p w14:paraId="19689159" w14:textId="0DA71333" w:rsidR="00491E54" w:rsidRPr="008D6D37" w:rsidRDefault="1F9C87D7" w:rsidP="00C443AD">
      <w:pPr>
        <w:spacing w:line="240" w:lineRule="atLeast"/>
        <w:rPr>
          <w:rFonts w:ascii="Arial" w:eastAsia="Arial" w:hAnsi="Arial" w:cs="Arial"/>
          <w:sz w:val="18"/>
          <w:szCs w:val="18"/>
        </w:rPr>
      </w:pPr>
      <w:r w:rsidRPr="008D6D37">
        <w:rPr>
          <w:rFonts w:ascii="Arial" w:eastAsia="Arial" w:hAnsi="Arial" w:cs="Arial"/>
          <w:sz w:val="18"/>
          <w:szCs w:val="18"/>
        </w:rPr>
        <w:t>These obligations are independent of any specific reporting template or return.</w:t>
      </w:r>
    </w:p>
    <w:p w14:paraId="417D7EC0" w14:textId="5A57C3DF" w:rsidR="00491E54" w:rsidRPr="00247747" w:rsidRDefault="00491E54" w:rsidP="59106796">
      <w:pPr>
        <w:spacing w:line="240" w:lineRule="atLeast"/>
        <w:rPr>
          <w:color w:val="002060"/>
        </w:rPr>
      </w:pPr>
    </w:p>
    <w:p w14:paraId="5490873C" w14:textId="4E7470B3" w:rsidR="00491E54" w:rsidRPr="008D6D37" w:rsidRDefault="1F9C87D7" w:rsidP="00F22198">
      <w:pPr>
        <w:keepNext/>
        <w:spacing w:line="280" w:lineRule="atLeast"/>
        <w:rPr>
          <w:rFonts w:ascii="Arial" w:hAnsi="Arial" w:cs="Arial"/>
          <w:b/>
          <w:color w:val="0033CC"/>
          <w:sz w:val="22"/>
          <w:szCs w:val="22"/>
          <w:lang w:val="en-US" w:eastAsia="en-US"/>
        </w:rPr>
      </w:pPr>
      <w:r w:rsidRPr="008D6D37">
        <w:rPr>
          <w:rFonts w:ascii="Arial" w:hAnsi="Arial" w:cs="Arial"/>
          <w:b/>
          <w:color w:val="0033CC"/>
          <w:sz w:val="22"/>
          <w:szCs w:val="22"/>
          <w:lang w:val="en-US" w:eastAsia="en-US"/>
        </w:rPr>
        <w:t>Reporting arrangements and provision of data</w:t>
      </w:r>
    </w:p>
    <w:p w14:paraId="50E78EE0" w14:textId="1C484436" w:rsidR="008662FD" w:rsidRPr="008D6D37" w:rsidRDefault="008D6D37" w:rsidP="008D6D37">
      <w:pPr>
        <w:tabs>
          <w:tab w:val="right" w:pos="5897"/>
        </w:tabs>
        <w:spacing w:after="240" w:line="240" w:lineRule="atLeast"/>
        <w:rPr>
          <w:rFonts w:ascii="Arial" w:eastAsia="Arial" w:hAnsi="Arial" w:cs="Arial"/>
          <w:sz w:val="18"/>
          <w:szCs w:val="18"/>
        </w:rPr>
      </w:pPr>
      <w:r>
        <w:rPr>
          <w:rFonts w:ascii="Arial" w:hAnsi="Arial"/>
          <w:sz w:val="18"/>
          <w:szCs w:val="18"/>
        </w:rPr>
        <w:br/>
      </w:r>
      <w:r w:rsidR="7BD9E089" w:rsidRPr="008D6D37">
        <w:rPr>
          <w:rFonts w:ascii="Arial" w:hAnsi="Arial"/>
          <w:sz w:val="18"/>
          <w:szCs w:val="18"/>
        </w:rPr>
        <w:t xml:space="preserve">Key </w:t>
      </w:r>
      <w:r w:rsidR="00491E54" w:rsidRPr="008D6D37">
        <w:rPr>
          <w:rFonts w:ascii="Arial" w:hAnsi="Arial"/>
          <w:sz w:val="18"/>
          <w:szCs w:val="18"/>
        </w:rPr>
        <w:t xml:space="preserve">information </w:t>
      </w:r>
      <w:r w:rsidR="09B46603" w:rsidRPr="008D6D37">
        <w:rPr>
          <w:rFonts w:ascii="Arial" w:hAnsi="Arial"/>
          <w:sz w:val="18"/>
          <w:szCs w:val="18"/>
        </w:rPr>
        <w:t>relating to outwards reinsurance transactions placed with related parties</w:t>
      </w:r>
      <w:r w:rsidR="00491E54" w:rsidRPr="008D6D37">
        <w:rPr>
          <w:rFonts w:ascii="Arial" w:hAnsi="Arial"/>
          <w:sz w:val="18"/>
          <w:szCs w:val="18"/>
        </w:rPr>
        <w:t xml:space="preserve"> through </w:t>
      </w:r>
      <w:r w:rsidR="65F6ACF5" w:rsidRPr="008D6D37">
        <w:rPr>
          <w:rFonts w:ascii="Arial" w:hAnsi="Arial"/>
          <w:sz w:val="18"/>
          <w:szCs w:val="18"/>
        </w:rPr>
        <w:t xml:space="preserve">the Syndicate Reinsurance Structure (SRS) </w:t>
      </w:r>
      <w:r w:rsidR="00491E54" w:rsidRPr="008D6D37">
        <w:rPr>
          <w:rFonts w:ascii="Arial" w:hAnsi="Arial"/>
          <w:sz w:val="18"/>
          <w:szCs w:val="18"/>
        </w:rPr>
        <w:t xml:space="preserve">return. </w:t>
      </w:r>
      <w:r w:rsidR="6550481C" w:rsidRPr="008D6D37">
        <w:rPr>
          <w:rFonts w:ascii="Arial" w:eastAsia="Arial" w:hAnsi="Arial" w:cs="Arial"/>
          <w:sz w:val="18"/>
          <w:szCs w:val="18"/>
        </w:rPr>
        <w:t>Lloyd’s may request additional information or evidence, including where necessary to understand the nature of the relationship, assess potential conflicts of interest, or verify that appropriate controls and governance are in place</w:t>
      </w:r>
      <w:r w:rsidRPr="008D6D37">
        <w:rPr>
          <w:rFonts w:ascii="Arial" w:eastAsia="Arial" w:hAnsi="Arial" w:cs="Arial"/>
          <w:sz w:val="18"/>
          <w:szCs w:val="18"/>
        </w:rPr>
        <w:t>.</w:t>
      </w:r>
    </w:p>
    <w:p w14:paraId="1D82BD2A" w14:textId="77777777" w:rsidR="6ABD1772" w:rsidRPr="008D6D37" w:rsidRDefault="6ABD1772" w:rsidP="009A677F">
      <w:pPr>
        <w:keepNext/>
        <w:tabs>
          <w:tab w:val="right" w:pos="5897"/>
        </w:tabs>
        <w:spacing w:line="240" w:lineRule="atLeast"/>
        <w:rPr>
          <w:rFonts w:ascii="Arial" w:hAnsi="Arial" w:cs="Arial"/>
          <w:b/>
          <w:color w:val="0033CC"/>
          <w:sz w:val="18"/>
          <w:szCs w:val="18"/>
        </w:rPr>
      </w:pPr>
      <w:r w:rsidRPr="008D6D37">
        <w:rPr>
          <w:rFonts w:ascii="Arial" w:hAnsi="Arial" w:cs="Arial"/>
          <w:b/>
          <w:color w:val="0033CC"/>
          <w:sz w:val="18"/>
          <w:szCs w:val="18"/>
        </w:rPr>
        <w:t>Requirements relating to syndicate annual accounts and Lloyd’s Aggregate Accounts</w:t>
      </w:r>
    </w:p>
    <w:p w14:paraId="03D3731E" w14:textId="77777777" w:rsidR="009A677F" w:rsidRDefault="009A677F" w:rsidP="009A677F">
      <w:pPr>
        <w:keepNext/>
        <w:tabs>
          <w:tab w:val="right" w:pos="5897"/>
        </w:tabs>
        <w:spacing w:line="240" w:lineRule="atLeast"/>
        <w:rPr>
          <w:rFonts w:ascii="Arial" w:hAnsi="Arial" w:cs="Arial"/>
          <w:b/>
          <w:sz w:val="18"/>
          <w:szCs w:val="18"/>
        </w:rPr>
      </w:pPr>
    </w:p>
    <w:p w14:paraId="2B3263C6" w14:textId="1E40B632" w:rsidR="00491E54" w:rsidRDefault="00491E54" w:rsidP="008662FD">
      <w:pPr>
        <w:keepNext/>
        <w:tabs>
          <w:tab w:val="right" w:pos="5897"/>
        </w:tabs>
        <w:spacing w:line="240" w:lineRule="atLeast"/>
        <w:rPr>
          <w:rFonts w:ascii="Arial" w:hAnsi="Arial" w:cs="Arial"/>
          <w:sz w:val="18"/>
          <w:szCs w:val="18"/>
        </w:rPr>
      </w:pPr>
      <w:r w:rsidRPr="59106796">
        <w:rPr>
          <w:rFonts w:ascii="Arial" w:hAnsi="Arial" w:cs="Arial"/>
          <w:sz w:val="18"/>
          <w:szCs w:val="18"/>
        </w:rPr>
        <w:t xml:space="preserve">Managing agents will be aware that there are separate obligations to disclose related party transactions when preparing syndicate annual accounts. </w:t>
      </w:r>
      <w:r w:rsidR="0BFB9097" w:rsidRPr="59106796">
        <w:rPr>
          <w:rFonts w:ascii="Arial" w:hAnsi="Arial" w:cs="Arial"/>
          <w:sz w:val="18"/>
          <w:szCs w:val="18"/>
        </w:rPr>
        <w:t>To support</w:t>
      </w:r>
      <w:r w:rsidRPr="59106796">
        <w:rPr>
          <w:rFonts w:ascii="Arial" w:hAnsi="Arial" w:cs="Arial"/>
          <w:sz w:val="18"/>
          <w:szCs w:val="18"/>
        </w:rPr>
        <w:t xml:space="preserve"> prepar</w:t>
      </w:r>
      <w:r w:rsidR="08A7CE85" w:rsidRPr="59106796">
        <w:rPr>
          <w:rFonts w:ascii="Arial" w:hAnsi="Arial" w:cs="Arial"/>
          <w:sz w:val="18"/>
          <w:szCs w:val="18"/>
        </w:rPr>
        <w:t>ation</w:t>
      </w:r>
      <w:r w:rsidR="64CA7433" w:rsidRPr="59106796">
        <w:rPr>
          <w:rFonts w:ascii="Arial" w:hAnsi="Arial" w:cs="Arial"/>
          <w:sz w:val="18"/>
          <w:szCs w:val="18"/>
        </w:rPr>
        <w:t xml:space="preserve"> of</w:t>
      </w:r>
      <w:r w:rsidRPr="59106796">
        <w:rPr>
          <w:rFonts w:ascii="Arial" w:hAnsi="Arial" w:cs="Arial"/>
          <w:sz w:val="18"/>
          <w:szCs w:val="18"/>
        </w:rPr>
        <w:t xml:space="preserve"> the Aggregate Accounts, Lloyd’s requires managing agents to provide details </w:t>
      </w:r>
      <w:r w:rsidR="00D99922" w:rsidRPr="59106796">
        <w:rPr>
          <w:rFonts w:ascii="Arial" w:hAnsi="Arial" w:cs="Arial"/>
          <w:sz w:val="18"/>
          <w:szCs w:val="18"/>
        </w:rPr>
        <w:t xml:space="preserve">annually </w:t>
      </w:r>
      <w:r w:rsidRPr="59106796">
        <w:rPr>
          <w:rFonts w:ascii="Arial" w:hAnsi="Arial" w:cs="Arial"/>
          <w:sz w:val="18"/>
          <w:szCs w:val="18"/>
        </w:rPr>
        <w:t>of related party transactions where the transactions are material and</w:t>
      </w:r>
      <w:r w:rsidR="0EF9BB07" w:rsidRPr="59106796">
        <w:rPr>
          <w:rFonts w:ascii="Arial" w:hAnsi="Arial" w:cs="Arial"/>
          <w:sz w:val="18"/>
          <w:szCs w:val="18"/>
        </w:rPr>
        <w:t>/or</w:t>
      </w:r>
      <w:r w:rsidRPr="59106796">
        <w:rPr>
          <w:rFonts w:ascii="Arial" w:hAnsi="Arial" w:cs="Arial"/>
          <w:sz w:val="18"/>
          <w:szCs w:val="18"/>
        </w:rPr>
        <w:t xml:space="preserve"> have not been concluded under normal market conditions.  This</w:t>
      </w:r>
      <w:r w:rsidR="4EC4A9DE" w:rsidRPr="59106796">
        <w:rPr>
          <w:rFonts w:ascii="Arial" w:hAnsi="Arial" w:cs="Arial"/>
          <w:sz w:val="18"/>
          <w:szCs w:val="18"/>
        </w:rPr>
        <w:t xml:space="preserve"> process</w:t>
      </w:r>
      <w:r w:rsidRPr="59106796">
        <w:rPr>
          <w:rFonts w:ascii="Arial" w:hAnsi="Arial" w:cs="Arial"/>
          <w:sz w:val="18"/>
          <w:szCs w:val="18"/>
        </w:rPr>
        <w:t xml:space="preserve"> is coordinated by the Market Finance team as part of the annual syndicate report and accounts </w:t>
      </w:r>
      <w:r w:rsidR="0FCEC7EE" w:rsidRPr="59106796">
        <w:rPr>
          <w:rFonts w:ascii="Arial" w:hAnsi="Arial" w:cs="Arial"/>
          <w:sz w:val="18"/>
          <w:szCs w:val="18"/>
        </w:rPr>
        <w:t>cycle</w:t>
      </w:r>
      <w:r w:rsidRPr="59106796">
        <w:rPr>
          <w:rFonts w:ascii="Arial" w:hAnsi="Arial" w:cs="Arial"/>
          <w:sz w:val="18"/>
          <w:szCs w:val="18"/>
        </w:rPr>
        <w:t>.</w:t>
      </w:r>
    </w:p>
    <w:p w14:paraId="44805AA2" w14:textId="77777777" w:rsidR="00F3626C" w:rsidRPr="008D6D37" w:rsidRDefault="00F3626C" w:rsidP="008662FD">
      <w:pPr>
        <w:keepNext/>
        <w:tabs>
          <w:tab w:val="right" w:pos="5897"/>
        </w:tabs>
        <w:spacing w:line="240" w:lineRule="atLeast"/>
        <w:rPr>
          <w:rFonts w:ascii="Arial" w:hAnsi="Arial" w:cs="Arial"/>
          <w:b/>
          <w:color w:val="0033CC"/>
          <w:sz w:val="18"/>
          <w:szCs w:val="18"/>
        </w:rPr>
      </w:pPr>
    </w:p>
    <w:bookmarkEnd w:id="12"/>
    <w:p w14:paraId="37727C34" w14:textId="0B89A306" w:rsidR="00491E54" w:rsidRPr="008D6D37" w:rsidRDefault="18411411" w:rsidP="00C443AD">
      <w:pPr>
        <w:tabs>
          <w:tab w:val="left" w:pos="0"/>
          <w:tab w:val="left" w:pos="5897"/>
        </w:tabs>
        <w:spacing w:after="240" w:line="240" w:lineRule="atLeast"/>
        <w:rPr>
          <w:rFonts w:asciiTheme="minorBidi" w:eastAsia="Arial" w:hAnsiTheme="minorBidi" w:cstheme="minorBidi"/>
          <w:b/>
          <w:bCs/>
          <w:color w:val="0033CC"/>
          <w:sz w:val="18"/>
          <w:szCs w:val="18"/>
        </w:rPr>
      </w:pPr>
      <w:r w:rsidRPr="008D6D37">
        <w:rPr>
          <w:rFonts w:asciiTheme="minorBidi" w:eastAsia="Arial" w:hAnsiTheme="minorBidi" w:cstheme="minorBidi"/>
          <w:b/>
          <w:bCs/>
          <w:color w:val="0033CC"/>
          <w:sz w:val="18"/>
          <w:szCs w:val="18"/>
        </w:rPr>
        <w:t>Definition of related party (for the purposes of this section and SRS reporting)</w:t>
      </w:r>
    </w:p>
    <w:p w14:paraId="3158B321" w14:textId="2EBE8701" w:rsidR="00491E54" w:rsidRPr="008D6D37" w:rsidRDefault="18411411" w:rsidP="00C443AD">
      <w:pPr>
        <w:tabs>
          <w:tab w:val="left" w:pos="1170"/>
        </w:tabs>
        <w:spacing w:line="288" w:lineRule="auto"/>
        <w:rPr>
          <w:rFonts w:asciiTheme="minorBidi" w:eastAsia="Arial" w:hAnsiTheme="minorBidi" w:cstheme="minorBidi"/>
          <w:sz w:val="18"/>
          <w:szCs w:val="18"/>
        </w:rPr>
      </w:pPr>
      <w:r w:rsidRPr="008D6D37">
        <w:rPr>
          <w:rFonts w:asciiTheme="minorBidi" w:eastAsia="Arial" w:hAnsiTheme="minorBidi" w:cstheme="minorBidi"/>
          <w:sz w:val="18"/>
          <w:szCs w:val="18"/>
        </w:rPr>
        <w:t>A related party for the purpose of completing returns shall mean:</w:t>
      </w:r>
    </w:p>
    <w:p w14:paraId="0781F027" w14:textId="69992FED" w:rsidR="00491E54" w:rsidRPr="008D6D37" w:rsidRDefault="18411411" w:rsidP="00C443AD">
      <w:pPr>
        <w:pStyle w:val="ListParagraph"/>
        <w:numPr>
          <w:ilvl w:val="0"/>
          <w:numId w:val="1"/>
        </w:numPr>
        <w:spacing w:line="288" w:lineRule="auto"/>
        <w:ind w:left="360"/>
        <w:rPr>
          <w:rFonts w:asciiTheme="minorBidi" w:eastAsia="Calibri" w:hAnsiTheme="minorBidi" w:cstheme="minorBidi"/>
          <w:sz w:val="18"/>
          <w:szCs w:val="18"/>
        </w:rPr>
      </w:pPr>
      <w:r w:rsidRPr="008D6D37">
        <w:rPr>
          <w:rFonts w:asciiTheme="minorBidi" w:eastAsia="Calibri" w:hAnsiTheme="minorBidi" w:cstheme="minorBidi"/>
          <w:sz w:val="18"/>
          <w:szCs w:val="18"/>
        </w:rPr>
        <w:t>Any company within the same group as the Managing Agent;</w:t>
      </w:r>
    </w:p>
    <w:p w14:paraId="20084EC9" w14:textId="00220365" w:rsidR="00491E54" w:rsidRPr="008D6D37" w:rsidRDefault="18411411" w:rsidP="00C443AD">
      <w:pPr>
        <w:pStyle w:val="ListParagraph"/>
        <w:numPr>
          <w:ilvl w:val="0"/>
          <w:numId w:val="1"/>
        </w:numPr>
        <w:spacing w:line="288" w:lineRule="auto"/>
        <w:ind w:left="360"/>
        <w:rPr>
          <w:rFonts w:asciiTheme="minorBidi" w:eastAsia="Calibri" w:hAnsiTheme="minorBidi" w:cstheme="minorBidi"/>
          <w:sz w:val="18"/>
          <w:szCs w:val="18"/>
        </w:rPr>
      </w:pPr>
      <w:r w:rsidRPr="008D6D37">
        <w:rPr>
          <w:rFonts w:asciiTheme="minorBidi" w:eastAsia="Calibri" w:hAnsiTheme="minorBidi" w:cstheme="minorBidi"/>
          <w:sz w:val="18"/>
          <w:szCs w:val="18"/>
        </w:rPr>
        <w:t>Any company within the same group as a corporate member of the syndicate which has a member’s syndicate premium limit of more than 10% of the syndicate allocated capacity;</w:t>
      </w:r>
    </w:p>
    <w:p w14:paraId="1457407D" w14:textId="37612CA2" w:rsidR="00491E54" w:rsidRPr="008D6D37" w:rsidRDefault="18411411" w:rsidP="00C443AD">
      <w:pPr>
        <w:pStyle w:val="ListParagraph"/>
        <w:numPr>
          <w:ilvl w:val="0"/>
          <w:numId w:val="1"/>
        </w:numPr>
        <w:spacing w:line="288" w:lineRule="auto"/>
        <w:ind w:left="360"/>
        <w:rPr>
          <w:rFonts w:asciiTheme="minorBidi" w:eastAsia="Calibri" w:hAnsiTheme="minorBidi" w:cstheme="minorBidi"/>
          <w:sz w:val="18"/>
          <w:szCs w:val="18"/>
        </w:rPr>
      </w:pPr>
      <w:r w:rsidRPr="008D6D37">
        <w:rPr>
          <w:rFonts w:asciiTheme="minorBidi" w:eastAsia="Calibri" w:hAnsiTheme="minorBidi" w:cstheme="minorBidi"/>
          <w:sz w:val="18"/>
          <w:szCs w:val="18"/>
        </w:rPr>
        <w:lastRenderedPageBreak/>
        <w:t>Any company which has two or more directors in common with the Managing Agent;</w:t>
      </w:r>
    </w:p>
    <w:p w14:paraId="33CF5A62" w14:textId="31BD492A" w:rsidR="00491E54" w:rsidRPr="008D6D37" w:rsidRDefault="18411411" w:rsidP="00C443AD">
      <w:pPr>
        <w:pStyle w:val="ListParagraph"/>
        <w:numPr>
          <w:ilvl w:val="0"/>
          <w:numId w:val="1"/>
        </w:numPr>
        <w:spacing w:line="240" w:lineRule="atLeast"/>
        <w:ind w:left="360"/>
        <w:rPr>
          <w:rFonts w:asciiTheme="minorBidi" w:eastAsia="Calibri" w:hAnsiTheme="minorBidi" w:cstheme="minorBidi"/>
          <w:sz w:val="18"/>
          <w:szCs w:val="18"/>
        </w:rPr>
      </w:pPr>
      <w:r w:rsidRPr="008D6D37">
        <w:rPr>
          <w:rFonts w:asciiTheme="minorBidi" w:eastAsia="Calibri" w:hAnsiTheme="minorBidi" w:cstheme="minorBidi"/>
          <w:sz w:val="18"/>
          <w:szCs w:val="18"/>
        </w:rPr>
        <w:t xml:space="preserve">Another syndicate managed by the same Managing Agent or a service company </w:t>
      </w:r>
      <w:proofErr w:type="spellStart"/>
      <w:r w:rsidRPr="008D6D37">
        <w:rPr>
          <w:rFonts w:asciiTheme="minorBidi" w:eastAsia="Calibri" w:hAnsiTheme="minorBidi" w:cstheme="minorBidi"/>
          <w:sz w:val="18"/>
          <w:szCs w:val="18"/>
        </w:rPr>
        <w:t>coverholder</w:t>
      </w:r>
      <w:proofErr w:type="spellEnd"/>
      <w:r w:rsidRPr="008D6D37">
        <w:rPr>
          <w:rFonts w:asciiTheme="minorBidi" w:eastAsia="Calibri" w:hAnsiTheme="minorBidi" w:cstheme="minorBidi"/>
          <w:sz w:val="18"/>
          <w:szCs w:val="18"/>
        </w:rPr>
        <w:t xml:space="preserve"> that is part of the Managing Agent’s group;</w:t>
      </w:r>
    </w:p>
    <w:p w14:paraId="782E9582" w14:textId="12DEA1F2" w:rsidR="00C443AD" w:rsidRPr="008D6D37" w:rsidRDefault="18411411" w:rsidP="00F3626C">
      <w:pPr>
        <w:pStyle w:val="ListParagraph"/>
        <w:numPr>
          <w:ilvl w:val="0"/>
          <w:numId w:val="1"/>
        </w:numPr>
        <w:spacing w:line="240" w:lineRule="atLeast"/>
        <w:ind w:left="360"/>
        <w:rPr>
          <w:rFonts w:asciiTheme="minorBidi" w:eastAsia="Calibri" w:hAnsiTheme="minorBidi" w:cstheme="minorBidi"/>
          <w:sz w:val="18"/>
          <w:szCs w:val="18"/>
        </w:rPr>
      </w:pPr>
      <w:r w:rsidRPr="008D6D37">
        <w:rPr>
          <w:rFonts w:asciiTheme="minorBidi" w:eastAsia="Calibri" w:hAnsiTheme="minorBidi" w:cstheme="minorBidi"/>
          <w:sz w:val="18"/>
          <w:szCs w:val="18"/>
        </w:rPr>
        <w:t>Any insurance special purpose vehicle company where the key management services are undertaken by persons who are employed by a company that meets any of the points 1 to 3, where those persons have authority and responsibility for planning, directing and controlling the activities of the insurance special purpose vehicle company, whether or not they are a formally recognised as directors or officers of the insurance special purpose vehicle company.</w:t>
      </w:r>
    </w:p>
    <w:p w14:paraId="09A2EDEF" w14:textId="77777777" w:rsidR="00491E54" w:rsidRPr="00CF2F60" w:rsidRDefault="00491E54" w:rsidP="00CF2F60">
      <w:pPr>
        <w:pStyle w:val="BodyText"/>
      </w:pPr>
    </w:p>
    <w:p w14:paraId="3F8396F8" w14:textId="77777777" w:rsidR="00491E54" w:rsidRPr="00491E54" w:rsidRDefault="00491E54" w:rsidP="001A55A3">
      <w:pPr>
        <w:pStyle w:val="Heading3"/>
      </w:pPr>
      <w:bookmarkStart w:id="13" w:name="_Toc236925684"/>
      <w:r w:rsidRPr="00491E54">
        <w:t>Distribution Costs, Broker Remuneration and Additional Charges</w:t>
      </w:r>
      <w:bookmarkEnd w:id="13"/>
    </w:p>
    <w:p w14:paraId="36438049" w14:textId="77777777" w:rsidR="00491E54" w:rsidRPr="00491E54" w:rsidRDefault="00491E54" w:rsidP="00491E54">
      <w:pPr>
        <w:keepNext/>
        <w:tabs>
          <w:tab w:val="right" w:pos="5897"/>
        </w:tabs>
        <w:spacing w:after="120" w:line="240" w:lineRule="atLeast"/>
        <w:rPr>
          <w:rFonts w:ascii="Arial" w:hAnsi="Arial"/>
          <w:sz w:val="18"/>
        </w:rPr>
      </w:pPr>
    </w:p>
    <w:p w14:paraId="569D4257"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Placement structures and remuneration arrangements in the London market continue to evolve and increase.  Whilst Lloyd’s does not seek to interfere with the agreement of commercial arrangements in the market, nevertheless it is important that managing agents continue to consider properly the structure and terms of such arrangements to ensure their compatibility with relevant laws and regulations and to meet the very highest standards in their dealings with brokers for the benefit of Lloyd’s policyholders.</w:t>
      </w:r>
    </w:p>
    <w:p w14:paraId="6A06EAEE" w14:textId="77777777" w:rsidR="00491E54" w:rsidRPr="00491E54" w:rsidRDefault="00491E54" w:rsidP="00491E54">
      <w:pPr>
        <w:tabs>
          <w:tab w:val="right" w:pos="5897"/>
        </w:tabs>
        <w:spacing w:line="240" w:lineRule="atLeast"/>
        <w:rPr>
          <w:rFonts w:ascii="Arial" w:hAnsi="Arial" w:cs="Arial"/>
          <w:sz w:val="18"/>
          <w:szCs w:val="18"/>
        </w:rPr>
      </w:pPr>
    </w:p>
    <w:p w14:paraId="266F98CF" w14:textId="77777777" w:rsidR="00491E54" w:rsidRPr="00491E54" w:rsidRDefault="00491E54" w:rsidP="00491E54">
      <w:pPr>
        <w:tabs>
          <w:tab w:val="right" w:pos="5897"/>
        </w:tabs>
        <w:spacing w:line="240" w:lineRule="atLeast"/>
        <w:rPr>
          <w:rFonts w:ascii="Arial" w:hAnsi="Arial" w:cs="Arial"/>
          <w:sz w:val="18"/>
          <w:szCs w:val="18"/>
        </w:rPr>
      </w:pPr>
    </w:p>
    <w:p w14:paraId="224609B4" w14:textId="77777777" w:rsidR="00491E54" w:rsidRPr="00491E54" w:rsidRDefault="00491E54" w:rsidP="00491E54">
      <w:pPr>
        <w:keepNext/>
        <w:tabs>
          <w:tab w:val="right" w:pos="5897"/>
        </w:tabs>
        <w:spacing w:line="240" w:lineRule="atLeast"/>
        <w:rPr>
          <w:rFonts w:ascii="Arial" w:hAnsi="Arial" w:cs="Arial"/>
          <w:b/>
          <w:color w:val="1E35BF"/>
          <w:sz w:val="22"/>
          <w:szCs w:val="22"/>
        </w:rPr>
      </w:pPr>
      <w:r w:rsidRPr="00491E54">
        <w:rPr>
          <w:rFonts w:ascii="Arial" w:hAnsi="Arial" w:cs="Arial"/>
          <w:b/>
          <w:color w:val="1E35BF"/>
          <w:sz w:val="22"/>
          <w:szCs w:val="22"/>
        </w:rPr>
        <w:t>Bribery Act</w:t>
      </w:r>
    </w:p>
    <w:p w14:paraId="73EF0352" w14:textId="77777777" w:rsidR="00491E54" w:rsidRPr="00491E54" w:rsidRDefault="00491E54" w:rsidP="00491E54">
      <w:pPr>
        <w:keepNext/>
        <w:tabs>
          <w:tab w:val="right" w:pos="5897"/>
        </w:tabs>
        <w:spacing w:line="240" w:lineRule="atLeast"/>
        <w:rPr>
          <w:rFonts w:ascii="Arial" w:hAnsi="Arial" w:cs="Arial"/>
          <w:sz w:val="18"/>
          <w:szCs w:val="18"/>
        </w:rPr>
      </w:pPr>
    </w:p>
    <w:p w14:paraId="335F6530"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The Bribery Act 2010 (the “Act”) is in force and all managing agents must make sure that they continue to consider the implications of the Act (and the associated guidance issued by the Ministry of Justice).  In summary, the Act provides that it is both an offence to offer, promise or give bribes (active offences) and to request, agree to receive or accept a bribe (passive offences).  The Act also introduced corporate liability for failing to prevent bribery.</w:t>
      </w:r>
    </w:p>
    <w:p w14:paraId="6DB9BAC7" w14:textId="77777777" w:rsidR="00491E54" w:rsidRPr="00491E54" w:rsidRDefault="00491E54" w:rsidP="00491E54">
      <w:pPr>
        <w:tabs>
          <w:tab w:val="right" w:pos="5897"/>
        </w:tabs>
        <w:spacing w:line="240" w:lineRule="atLeast"/>
        <w:rPr>
          <w:rFonts w:ascii="Arial" w:hAnsi="Arial" w:cs="Arial"/>
          <w:sz w:val="18"/>
          <w:szCs w:val="18"/>
        </w:rPr>
      </w:pPr>
    </w:p>
    <w:p w14:paraId="093F440E"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It is ultimately a matter for the board of each managing agent (taking its own external legal advice where appropriate) to ensure that any arrangement that a managing agent enters into does not breach the terms of the Act. </w:t>
      </w:r>
    </w:p>
    <w:p w14:paraId="5B2285F5" w14:textId="77777777" w:rsidR="00491E54" w:rsidRPr="00491E54" w:rsidRDefault="00491E54" w:rsidP="00491E54">
      <w:pPr>
        <w:tabs>
          <w:tab w:val="right" w:pos="5897"/>
        </w:tabs>
        <w:spacing w:line="240" w:lineRule="atLeast"/>
        <w:rPr>
          <w:rFonts w:ascii="Arial" w:hAnsi="Arial" w:cs="Arial"/>
          <w:sz w:val="18"/>
          <w:szCs w:val="18"/>
        </w:rPr>
      </w:pPr>
    </w:p>
    <w:p w14:paraId="5679DCAC"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The consequences of breaching the Act are very serious and any criminal charges would be a matter for the Serious Fraud Office (rather than Lloyd’s or the FCA).  Lloyd’s continues to expect managing agents to adopt a very cautious and rigorous approach to compliance having regard in particular to the following matters.</w:t>
      </w:r>
    </w:p>
    <w:p w14:paraId="1C139611" w14:textId="77777777" w:rsidR="00491E54" w:rsidRPr="00491E54" w:rsidRDefault="00491E54" w:rsidP="00491E54">
      <w:pPr>
        <w:tabs>
          <w:tab w:val="right" w:pos="5897"/>
        </w:tabs>
        <w:spacing w:line="240" w:lineRule="atLeast"/>
        <w:rPr>
          <w:rFonts w:ascii="Arial" w:hAnsi="Arial" w:cs="Arial"/>
          <w:sz w:val="18"/>
          <w:szCs w:val="18"/>
        </w:rPr>
      </w:pPr>
    </w:p>
    <w:p w14:paraId="3670CD03" w14:textId="77777777" w:rsidR="00491E54" w:rsidRPr="00491E54" w:rsidRDefault="00491E54" w:rsidP="00491E54">
      <w:pPr>
        <w:keepNext/>
        <w:tabs>
          <w:tab w:val="right" w:pos="5897"/>
        </w:tabs>
        <w:spacing w:line="240" w:lineRule="atLeast"/>
        <w:rPr>
          <w:rFonts w:ascii="Arial" w:hAnsi="Arial" w:cs="Arial"/>
          <w:b/>
          <w:sz w:val="18"/>
          <w:szCs w:val="18"/>
        </w:rPr>
      </w:pPr>
      <w:r w:rsidRPr="00491E54">
        <w:rPr>
          <w:rFonts w:ascii="Arial" w:hAnsi="Arial" w:cs="Arial"/>
          <w:b/>
          <w:sz w:val="18"/>
          <w:szCs w:val="18"/>
        </w:rPr>
        <w:t>Brokerage</w:t>
      </w:r>
    </w:p>
    <w:p w14:paraId="2075C6D5" w14:textId="77777777" w:rsidR="00491E54" w:rsidRPr="00491E54" w:rsidRDefault="00491E54" w:rsidP="00491E54">
      <w:pPr>
        <w:keepNext/>
        <w:tabs>
          <w:tab w:val="right" w:pos="5897"/>
        </w:tabs>
        <w:spacing w:line="240" w:lineRule="atLeast"/>
        <w:rPr>
          <w:rFonts w:ascii="Arial" w:hAnsi="Arial" w:cs="Arial"/>
          <w:sz w:val="18"/>
          <w:szCs w:val="18"/>
        </w:rPr>
      </w:pPr>
    </w:p>
    <w:p w14:paraId="61598B94"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The payment of brokerage within the usual range is a long-standing commercial practice that has consistently been upheld by the courts as compatible with brokers’ and insurers’ fiduciary duties. Accordingly, Lloyd’s has been advised and has concluded that it is inconceivable that agreement or payment of brokerage would lead to prosecution where the amount agreed is an amount within the usual range for the type of business in question and where the amount has been fully disclosed to the client. </w:t>
      </w:r>
    </w:p>
    <w:p w14:paraId="434CA16E" w14:textId="77777777" w:rsidR="00491E54" w:rsidRPr="00491E54" w:rsidRDefault="00491E54" w:rsidP="00491E54">
      <w:pPr>
        <w:tabs>
          <w:tab w:val="right" w:pos="5897"/>
        </w:tabs>
        <w:spacing w:line="240" w:lineRule="atLeast"/>
        <w:rPr>
          <w:rFonts w:ascii="Arial" w:hAnsi="Arial" w:cs="Arial"/>
          <w:sz w:val="18"/>
          <w:szCs w:val="18"/>
        </w:rPr>
      </w:pPr>
    </w:p>
    <w:p w14:paraId="6DD9CBAE" w14:textId="77777777" w:rsidR="00491E54" w:rsidRPr="00491E54" w:rsidRDefault="00491E54" w:rsidP="00491E54">
      <w:pPr>
        <w:keepNext/>
        <w:tabs>
          <w:tab w:val="right" w:pos="5897"/>
        </w:tabs>
        <w:spacing w:line="240" w:lineRule="atLeast"/>
        <w:rPr>
          <w:rFonts w:ascii="Arial" w:hAnsi="Arial" w:cs="Arial"/>
          <w:b/>
          <w:sz w:val="18"/>
          <w:szCs w:val="18"/>
        </w:rPr>
      </w:pPr>
      <w:r w:rsidRPr="00491E54">
        <w:rPr>
          <w:rFonts w:ascii="Arial" w:hAnsi="Arial" w:cs="Arial"/>
          <w:b/>
          <w:sz w:val="18"/>
          <w:szCs w:val="18"/>
        </w:rPr>
        <w:t>Additional fees charges and commissions</w:t>
      </w:r>
    </w:p>
    <w:p w14:paraId="5767C06E" w14:textId="77777777" w:rsidR="00491E54" w:rsidRPr="00491E54" w:rsidRDefault="00491E54" w:rsidP="00491E54">
      <w:pPr>
        <w:keepNext/>
        <w:tabs>
          <w:tab w:val="right" w:pos="5897"/>
        </w:tabs>
        <w:spacing w:line="240" w:lineRule="atLeast"/>
        <w:rPr>
          <w:rFonts w:ascii="Arial" w:hAnsi="Arial" w:cs="Arial"/>
          <w:sz w:val="18"/>
          <w:szCs w:val="18"/>
        </w:rPr>
      </w:pPr>
    </w:p>
    <w:p w14:paraId="424E1D4B"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Payment by the insurer of additional fees, charges or commissions (or brokerage outside the usual range) to a broker which acts for a policyholder, including under a line slip (rather than as agent for underwriters under a binding authority), raises concerns that the additional payment might be seen as inducing or influencing the broker to place business with the insurer contrary to the broker’s client’s best interests, or which might otherwise cause improper performance by the broker of its duties. This is particularly the case where the additional payments are calculated by reference (whether directly or indirectly) to the amount of business underwritten by the insurer or by reference to the profitability of the business. </w:t>
      </w:r>
    </w:p>
    <w:p w14:paraId="49C69E36" w14:textId="77777777" w:rsidR="00491E54" w:rsidRPr="00491E54" w:rsidRDefault="00491E54" w:rsidP="00491E54">
      <w:pPr>
        <w:tabs>
          <w:tab w:val="right" w:pos="5897"/>
        </w:tabs>
        <w:spacing w:line="240" w:lineRule="atLeast"/>
        <w:rPr>
          <w:rFonts w:ascii="Arial" w:hAnsi="Arial" w:cs="Arial"/>
          <w:sz w:val="18"/>
          <w:szCs w:val="18"/>
        </w:rPr>
      </w:pPr>
    </w:p>
    <w:p w14:paraId="63B060E5"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Considerable care therefore needs to be taken before any such additional payments are agreed having regard to the underlying commercial reality of the arrangement in question rather than merely to how it is represented or described. </w:t>
      </w:r>
    </w:p>
    <w:p w14:paraId="008224E3" w14:textId="77777777" w:rsidR="00491E54" w:rsidRPr="00491E54" w:rsidRDefault="00491E54" w:rsidP="00491E54">
      <w:pPr>
        <w:tabs>
          <w:tab w:val="right" w:pos="5897"/>
        </w:tabs>
        <w:spacing w:line="240" w:lineRule="atLeast"/>
        <w:rPr>
          <w:rFonts w:ascii="Arial" w:hAnsi="Arial" w:cs="Arial"/>
          <w:sz w:val="18"/>
          <w:szCs w:val="18"/>
        </w:rPr>
      </w:pPr>
    </w:p>
    <w:p w14:paraId="1BCDB6F7"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Accordingly, Lloyd’s expects each managing agent to continue to ensure that, as a minimum, each of the following questions has been considered before additional payments are agreed to –</w:t>
      </w:r>
    </w:p>
    <w:p w14:paraId="3DF0D26F" w14:textId="77777777" w:rsidR="00491E54" w:rsidRPr="00491E54" w:rsidRDefault="00491E54" w:rsidP="00491E54">
      <w:pPr>
        <w:tabs>
          <w:tab w:val="right" w:pos="5897"/>
        </w:tabs>
        <w:spacing w:line="240" w:lineRule="atLeast"/>
        <w:rPr>
          <w:rFonts w:ascii="Arial" w:hAnsi="Arial" w:cs="Arial"/>
          <w:sz w:val="18"/>
          <w:szCs w:val="18"/>
        </w:rPr>
      </w:pPr>
    </w:p>
    <w:p w14:paraId="5AC5D436" w14:textId="58E95B78" w:rsidR="00491E54" w:rsidRPr="00525B71" w:rsidRDefault="00491E54" w:rsidP="007533D0">
      <w:pPr>
        <w:pStyle w:val="ListParagraph"/>
        <w:numPr>
          <w:ilvl w:val="0"/>
          <w:numId w:val="40"/>
        </w:numPr>
        <w:tabs>
          <w:tab w:val="num" w:pos="85"/>
          <w:tab w:val="num" w:pos="426"/>
          <w:tab w:val="right" w:pos="5897"/>
          <w:tab w:val="right" w:pos="9582"/>
        </w:tabs>
        <w:spacing w:after="120" w:line="240" w:lineRule="atLeast"/>
        <w:rPr>
          <w:rFonts w:ascii="Arial" w:hAnsi="Arial"/>
          <w:sz w:val="18"/>
          <w:szCs w:val="18"/>
        </w:rPr>
      </w:pPr>
      <w:r w:rsidRPr="00525B71">
        <w:rPr>
          <w:rFonts w:ascii="Arial" w:hAnsi="Arial"/>
          <w:sz w:val="18"/>
          <w:szCs w:val="18"/>
        </w:rPr>
        <w:lastRenderedPageBreak/>
        <w:t xml:space="preserve">no matter how the additional payment is described, is the real commercial motivation to agree to the additional payment to secure underwriting business or the opportunity to quote for such business? If so, the additional payment should not be agreed to without the managing agent obtaining its own legal advice which specifically addresses the commercial motivation for the additional payment. </w:t>
      </w:r>
    </w:p>
    <w:p w14:paraId="726B02B7" w14:textId="77777777" w:rsidR="00491E54" w:rsidRPr="00491E54" w:rsidRDefault="00491E54" w:rsidP="00491E54">
      <w:pPr>
        <w:tabs>
          <w:tab w:val="right" w:pos="9582"/>
        </w:tabs>
        <w:spacing w:line="240" w:lineRule="atLeast"/>
        <w:ind w:left="85"/>
        <w:rPr>
          <w:rFonts w:ascii="Arial" w:hAnsi="Arial"/>
          <w:sz w:val="18"/>
          <w:szCs w:val="18"/>
        </w:rPr>
      </w:pPr>
    </w:p>
    <w:p w14:paraId="0E54244A" w14:textId="77777777" w:rsidR="00491E54" w:rsidRPr="00491E54" w:rsidRDefault="00491E54" w:rsidP="00491E54">
      <w:pPr>
        <w:tabs>
          <w:tab w:val="right" w:pos="5897"/>
        </w:tabs>
        <w:spacing w:line="240" w:lineRule="atLeast"/>
        <w:ind w:left="85"/>
        <w:rPr>
          <w:rFonts w:ascii="Arial" w:hAnsi="Arial"/>
          <w:sz w:val="18"/>
        </w:rPr>
      </w:pPr>
      <w:r w:rsidRPr="00491E54">
        <w:rPr>
          <w:rFonts w:ascii="Arial" w:hAnsi="Arial"/>
          <w:sz w:val="18"/>
        </w:rPr>
        <w:t>Subject to the guidance below on line slip and binding authority arrangements, in no circumstances should additional payments be agreed, with an intermediary acting on behalf of the client, which are contingent upon the profitability of business being entered into or which are contingent upon receiving target volumes of business which represent a very high risk under the Bribery Act;</w:t>
      </w:r>
    </w:p>
    <w:p w14:paraId="4D00DD75" w14:textId="77777777" w:rsidR="00491E54" w:rsidRPr="00491E54" w:rsidRDefault="00491E54" w:rsidP="00491E54">
      <w:pPr>
        <w:tabs>
          <w:tab w:val="right" w:pos="5897"/>
        </w:tabs>
        <w:spacing w:line="240" w:lineRule="atLeast"/>
        <w:ind w:left="85"/>
        <w:rPr>
          <w:rFonts w:ascii="Arial" w:hAnsi="Arial"/>
          <w:sz w:val="18"/>
        </w:rPr>
      </w:pPr>
    </w:p>
    <w:p w14:paraId="353CC2A6" w14:textId="25604537" w:rsidR="00491E54" w:rsidRPr="009D46BE" w:rsidRDefault="00491E54" w:rsidP="007533D0">
      <w:pPr>
        <w:pStyle w:val="ListParagraph"/>
        <w:numPr>
          <w:ilvl w:val="0"/>
          <w:numId w:val="40"/>
        </w:numPr>
        <w:tabs>
          <w:tab w:val="num" w:pos="426"/>
          <w:tab w:val="right" w:pos="9582"/>
        </w:tabs>
        <w:spacing w:line="240" w:lineRule="atLeast"/>
        <w:rPr>
          <w:rFonts w:ascii="Arial" w:hAnsi="Arial"/>
          <w:sz w:val="18"/>
          <w:szCs w:val="18"/>
        </w:rPr>
      </w:pPr>
      <w:r w:rsidRPr="009D46BE">
        <w:rPr>
          <w:rFonts w:ascii="Arial" w:hAnsi="Arial"/>
          <w:sz w:val="18"/>
          <w:szCs w:val="18"/>
        </w:rPr>
        <w:t>is the additional payment compatible with the managing agent’s obligation to pay due regard to the interests of Lloyd’s customers and treat them fairly at all times?</w:t>
      </w:r>
    </w:p>
    <w:p w14:paraId="7704186B" w14:textId="77777777" w:rsidR="00491E54" w:rsidRPr="00491E54" w:rsidRDefault="00491E54" w:rsidP="00491E54">
      <w:pPr>
        <w:tabs>
          <w:tab w:val="right" w:pos="9582"/>
        </w:tabs>
        <w:spacing w:line="240" w:lineRule="atLeast"/>
        <w:ind w:left="85"/>
        <w:rPr>
          <w:rFonts w:ascii="Arial" w:hAnsi="Arial"/>
          <w:sz w:val="18"/>
          <w:szCs w:val="18"/>
        </w:rPr>
      </w:pPr>
    </w:p>
    <w:p w14:paraId="7329B0F6" w14:textId="1086A598" w:rsidR="00491E54" w:rsidRPr="009D46BE" w:rsidRDefault="00491E54" w:rsidP="007533D0">
      <w:pPr>
        <w:pStyle w:val="ListParagraph"/>
        <w:numPr>
          <w:ilvl w:val="0"/>
          <w:numId w:val="40"/>
        </w:numPr>
        <w:tabs>
          <w:tab w:val="num" w:pos="426"/>
          <w:tab w:val="right" w:pos="9582"/>
        </w:tabs>
        <w:spacing w:line="240" w:lineRule="atLeast"/>
        <w:rPr>
          <w:rFonts w:ascii="Arial" w:hAnsi="Arial"/>
          <w:sz w:val="18"/>
          <w:szCs w:val="18"/>
        </w:rPr>
      </w:pPr>
      <w:r w:rsidRPr="009D46BE">
        <w:rPr>
          <w:rFonts w:ascii="Arial" w:hAnsi="Arial"/>
          <w:sz w:val="18"/>
          <w:szCs w:val="18"/>
        </w:rPr>
        <w:t>where the additional payment is said to be in return for any services provided to the insurer (whether for administrative services, provision of management information or otherwise) –</w:t>
      </w:r>
    </w:p>
    <w:p w14:paraId="2176C362" w14:textId="77777777" w:rsidR="00491E54" w:rsidRPr="00491E54" w:rsidRDefault="00491E54" w:rsidP="00491E54">
      <w:pPr>
        <w:tabs>
          <w:tab w:val="right" w:pos="5897"/>
        </w:tabs>
        <w:spacing w:line="240" w:lineRule="atLeast"/>
        <w:ind w:left="170"/>
        <w:rPr>
          <w:rFonts w:ascii="Arial" w:hAnsi="Arial" w:cs="Arial"/>
          <w:sz w:val="18"/>
          <w:szCs w:val="18"/>
        </w:rPr>
      </w:pPr>
    </w:p>
    <w:p w14:paraId="42F0012B" w14:textId="42EB5413" w:rsidR="009D46BE" w:rsidRDefault="00491E54" w:rsidP="0047688C">
      <w:pPr>
        <w:pStyle w:val="ListParagraph"/>
        <w:numPr>
          <w:ilvl w:val="0"/>
          <w:numId w:val="41"/>
        </w:numPr>
        <w:tabs>
          <w:tab w:val="num" w:pos="720"/>
          <w:tab w:val="num" w:pos="1525"/>
          <w:tab w:val="right" w:pos="5897"/>
          <w:tab w:val="right" w:pos="9582"/>
        </w:tabs>
        <w:spacing w:after="120" w:line="240" w:lineRule="atLeast"/>
        <w:rPr>
          <w:rFonts w:ascii="Arial" w:hAnsi="Arial" w:cs="Arial"/>
          <w:sz w:val="18"/>
          <w:szCs w:val="18"/>
        </w:rPr>
      </w:pPr>
      <w:r w:rsidRPr="009D46BE">
        <w:rPr>
          <w:rFonts w:ascii="Arial" w:hAnsi="Arial" w:cs="Arial"/>
          <w:sz w:val="18"/>
          <w:szCs w:val="18"/>
        </w:rPr>
        <w:t>are the services of real additional value to the managing agent and demonstrably commensurate with the additional payment? If not, the additional payment should not be agreed to or arrangements should be negotiated in good faith so that the value of the service is objectively and demonstrably commensurate with the additional payment;</w:t>
      </w:r>
    </w:p>
    <w:p w14:paraId="76695D3E" w14:textId="590545CD" w:rsidR="00491E54" w:rsidRPr="009D46BE" w:rsidRDefault="00491E54" w:rsidP="0047688C">
      <w:pPr>
        <w:pStyle w:val="ListParagraph"/>
        <w:numPr>
          <w:ilvl w:val="0"/>
          <w:numId w:val="41"/>
        </w:numPr>
        <w:tabs>
          <w:tab w:val="num" w:pos="720"/>
          <w:tab w:val="num" w:pos="1525"/>
          <w:tab w:val="right" w:pos="5897"/>
          <w:tab w:val="right" w:pos="9582"/>
        </w:tabs>
        <w:spacing w:after="120" w:line="240" w:lineRule="atLeast"/>
        <w:rPr>
          <w:rFonts w:ascii="Arial" w:hAnsi="Arial" w:cs="Arial"/>
          <w:sz w:val="18"/>
          <w:szCs w:val="18"/>
        </w:rPr>
      </w:pPr>
      <w:r w:rsidRPr="009D46BE">
        <w:rPr>
          <w:rFonts w:ascii="Arial" w:hAnsi="Arial" w:cs="Arial"/>
          <w:sz w:val="18"/>
          <w:szCs w:val="18"/>
        </w:rPr>
        <w:t>are the services fully defined and set out in a contractually binding agreement which would meet equivalent PRA and FCA outsourcing requirements (see SYSC 13.9) and (a) allow proper monitoring and control of the services, (b) allow access to the managing agent’s internal and external auditors to review the provision of the agreed services and (c) make the broker legally responsible for providing the services and accepting liability for failure to do so. If not, the additional payment should not be agreed to without the managing agent obtaining its own legal advice;</w:t>
      </w:r>
    </w:p>
    <w:p w14:paraId="432B1DC4" w14:textId="77777777" w:rsidR="00491E54" w:rsidRPr="00491E54" w:rsidRDefault="00491E54" w:rsidP="00491E54">
      <w:pPr>
        <w:tabs>
          <w:tab w:val="right" w:pos="5897"/>
        </w:tabs>
        <w:spacing w:line="240" w:lineRule="atLeast"/>
        <w:ind w:left="170"/>
        <w:rPr>
          <w:rFonts w:ascii="Arial" w:hAnsi="Arial" w:cs="Arial"/>
          <w:sz w:val="18"/>
          <w:szCs w:val="18"/>
        </w:rPr>
      </w:pPr>
    </w:p>
    <w:p w14:paraId="6821C6FC" w14:textId="1FE66AE0" w:rsidR="00491E54" w:rsidRPr="00D6539D" w:rsidRDefault="00491E54" w:rsidP="007533D0">
      <w:pPr>
        <w:pStyle w:val="ListParagraph"/>
        <w:numPr>
          <w:ilvl w:val="0"/>
          <w:numId w:val="40"/>
        </w:numPr>
        <w:tabs>
          <w:tab w:val="num" w:pos="426"/>
          <w:tab w:val="right" w:pos="9582"/>
        </w:tabs>
        <w:spacing w:line="240" w:lineRule="atLeast"/>
        <w:rPr>
          <w:rFonts w:ascii="Arial" w:hAnsi="Arial"/>
          <w:sz w:val="18"/>
          <w:szCs w:val="18"/>
        </w:rPr>
      </w:pPr>
      <w:r w:rsidRPr="00D6539D">
        <w:rPr>
          <w:rFonts w:ascii="Arial" w:hAnsi="Arial"/>
          <w:sz w:val="18"/>
          <w:szCs w:val="18"/>
        </w:rPr>
        <w:t>has the broker agreed to provide clear and readily comprehensible disclosure to its clients in respect of each contract of insurance placed for each client of (a) the amount of the additional payment and (b) of any services for which they are paid? If not the additional payment should not be agreed;</w:t>
      </w:r>
    </w:p>
    <w:p w14:paraId="72DBA921" w14:textId="77777777" w:rsidR="00491E54" w:rsidRPr="00491E54" w:rsidRDefault="00491E54" w:rsidP="00491E54">
      <w:pPr>
        <w:tabs>
          <w:tab w:val="right" w:pos="9582"/>
        </w:tabs>
        <w:spacing w:line="240" w:lineRule="atLeast"/>
        <w:ind w:left="85"/>
        <w:rPr>
          <w:rFonts w:ascii="Arial" w:hAnsi="Arial"/>
          <w:sz w:val="18"/>
          <w:szCs w:val="18"/>
        </w:rPr>
      </w:pPr>
    </w:p>
    <w:p w14:paraId="6FF4534B" w14:textId="2F5D9EE6" w:rsidR="00491E54" w:rsidRPr="00D6539D" w:rsidRDefault="00491E54" w:rsidP="007533D0">
      <w:pPr>
        <w:pStyle w:val="ListParagraph"/>
        <w:numPr>
          <w:ilvl w:val="0"/>
          <w:numId w:val="40"/>
        </w:numPr>
        <w:tabs>
          <w:tab w:val="num" w:pos="426"/>
          <w:tab w:val="right" w:pos="9582"/>
        </w:tabs>
        <w:spacing w:line="240" w:lineRule="atLeast"/>
        <w:rPr>
          <w:rFonts w:ascii="Arial" w:hAnsi="Arial"/>
          <w:sz w:val="18"/>
          <w:szCs w:val="18"/>
        </w:rPr>
      </w:pPr>
      <w:r w:rsidRPr="00D6539D">
        <w:rPr>
          <w:rFonts w:ascii="Arial" w:hAnsi="Arial"/>
          <w:sz w:val="18"/>
          <w:szCs w:val="18"/>
        </w:rPr>
        <w:t>can the broker demonstrate that it has appropriate and proportionate processes and procedures to ensure that it and its staff will continue to perform their fiduciary duties to their clients in all of the circumstances? If not, the additional payment should not be agreed to. The confirmations and undertakings that a broker provides under the model non risk transfer and risk transfer Terms of Business Agreements (‘TOBA’) published by LMA and LIIBA, including in relation to the Bribery Act, are likely to be sufficient for these purposes.</w:t>
      </w:r>
    </w:p>
    <w:p w14:paraId="0B2C4B47" w14:textId="77777777" w:rsidR="00491E54" w:rsidRPr="00491E54" w:rsidRDefault="00491E54" w:rsidP="00491E54">
      <w:pPr>
        <w:tabs>
          <w:tab w:val="right" w:pos="5897"/>
        </w:tabs>
        <w:spacing w:line="240" w:lineRule="atLeast"/>
        <w:ind w:left="170"/>
        <w:rPr>
          <w:rFonts w:ascii="Arial" w:hAnsi="Arial" w:cs="Arial"/>
          <w:sz w:val="18"/>
          <w:szCs w:val="18"/>
        </w:rPr>
      </w:pPr>
    </w:p>
    <w:p w14:paraId="3D508CFA" w14:textId="77777777" w:rsidR="00491E54" w:rsidRPr="00491E54" w:rsidRDefault="00491E54" w:rsidP="00E3398F">
      <w:pPr>
        <w:tabs>
          <w:tab w:val="right" w:pos="5897"/>
        </w:tabs>
        <w:spacing w:line="240" w:lineRule="atLeast"/>
        <w:ind w:left="720"/>
        <w:rPr>
          <w:rFonts w:ascii="Arial" w:hAnsi="Arial" w:cs="Arial"/>
          <w:sz w:val="18"/>
          <w:szCs w:val="18"/>
        </w:rPr>
      </w:pPr>
      <w:r w:rsidRPr="00491E54">
        <w:rPr>
          <w:rFonts w:ascii="Arial" w:hAnsi="Arial" w:cs="Arial"/>
          <w:sz w:val="18"/>
          <w:szCs w:val="18"/>
        </w:rPr>
        <w:t xml:space="preserve">Where a managing agent does consider that it is appropriate to agree additional payments the managing agent must keep a clear record of how it reached that decision. </w:t>
      </w:r>
    </w:p>
    <w:p w14:paraId="563D36C6" w14:textId="77777777" w:rsidR="00491E54" w:rsidRPr="00491E54" w:rsidRDefault="00491E54" w:rsidP="00E3398F">
      <w:pPr>
        <w:tabs>
          <w:tab w:val="right" w:pos="5897"/>
        </w:tabs>
        <w:spacing w:line="240" w:lineRule="atLeast"/>
        <w:ind w:left="720"/>
        <w:rPr>
          <w:rFonts w:ascii="Arial" w:hAnsi="Arial" w:cs="Arial"/>
          <w:sz w:val="18"/>
          <w:szCs w:val="18"/>
        </w:rPr>
      </w:pPr>
    </w:p>
    <w:p w14:paraId="056B2F9C" w14:textId="77777777" w:rsidR="00491E54" w:rsidRPr="00491E54" w:rsidRDefault="00491E54" w:rsidP="00E3398F">
      <w:pPr>
        <w:tabs>
          <w:tab w:val="right" w:pos="5897"/>
        </w:tabs>
        <w:spacing w:line="240" w:lineRule="atLeast"/>
        <w:ind w:left="720"/>
        <w:rPr>
          <w:rFonts w:ascii="Arial" w:hAnsi="Arial" w:cs="Arial"/>
          <w:sz w:val="18"/>
          <w:szCs w:val="18"/>
        </w:rPr>
      </w:pPr>
      <w:r w:rsidRPr="00491E54">
        <w:rPr>
          <w:rFonts w:ascii="Arial" w:hAnsi="Arial" w:cs="Arial"/>
          <w:sz w:val="18"/>
          <w:szCs w:val="18"/>
        </w:rPr>
        <w:t>It is important that each managing agent agreeing to additional payments satisfies itself that the payment is appropriate rather than relying on the fact that other managing agents or insurers may have agreed to enter into the same or similar arrangement.</w:t>
      </w:r>
    </w:p>
    <w:p w14:paraId="7C0E39CD" w14:textId="77777777" w:rsidR="00491E54" w:rsidRPr="00491E54" w:rsidRDefault="00491E54" w:rsidP="00E3398F">
      <w:pPr>
        <w:tabs>
          <w:tab w:val="right" w:pos="5897"/>
        </w:tabs>
        <w:spacing w:line="240" w:lineRule="atLeast"/>
        <w:ind w:left="720"/>
        <w:rPr>
          <w:rFonts w:ascii="Arial" w:hAnsi="Arial" w:cs="Arial"/>
          <w:sz w:val="18"/>
          <w:szCs w:val="18"/>
        </w:rPr>
      </w:pPr>
    </w:p>
    <w:p w14:paraId="48CC6E46" w14:textId="77777777" w:rsidR="00491E54" w:rsidRPr="00491E54" w:rsidRDefault="00491E54" w:rsidP="00E3398F">
      <w:pPr>
        <w:tabs>
          <w:tab w:val="right" w:pos="5897"/>
        </w:tabs>
        <w:spacing w:line="240" w:lineRule="atLeast"/>
        <w:ind w:left="720"/>
        <w:rPr>
          <w:rFonts w:ascii="Arial" w:hAnsi="Arial" w:cs="Arial"/>
          <w:sz w:val="18"/>
          <w:szCs w:val="18"/>
        </w:rPr>
      </w:pPr>
      <w:r w:rsidRPr="00491E54">
        <w:rPr>
          <w:rFonts w:ascii="Arial" w:hAnsi="Arial" w:cs="Arial"/>
          <w:sz w:val="18"/>
          <w:szCs w:val="18"/>
        </w:rPr>
        <w:t>Where an additional payment has been agreed not at managing agent level but at group level, then the managing agent should consider the above questions when considering a proposal to recharge any of the additional payment to the syndicate.</w:t>
      </w:r>
    </w:p>
    <w:p w14:paraId="65AF568F" w14:textId="77777777" w:rsidR="00491E54" w:rsidRPr="00491E54" w:rsidRDefault="00491E54" w:rsidP="00491E54">
      <w:pPr>
        <w:tabs>
          <w:tab w:val="right" w:pos="5897"/>
        </w:tabs>
        <w:spacing w:line="240" w:lineRule="atLeast"/>
        <w:rPr>
          <w:rFonts w:ascii="Arial" w:hAnsi="Arial" w:cs="Arial"/>
          <w:sz w:val="18"/>
          <w:szCs w:val="18"/>
        </w:rPr>
      </w:pPr>
    </w:p>
    <w:p w14:paraId="129891B4" w14:textId="77777777" w:rsidR="00491E54" w:rsidRPr="00491E54" w:rsidRDefault="00491E54" w:rsidP="00491E54">
      <w:pPr>
        <w:keepNext/>
        <w:tabs>
          <w:tab w:val="right" w:pos="5897"/>
        </w:tabs>
        <w:spacing w:line="240" w:lineRule="atLeast"/>
        <w:rPr>
          <w:rFonts w:ascii="Arial" w:hAnsi="Arial" w:cs="Arial"/>
          <w:b/>
          <w:color w:val="1E35BF"/>
          <w:sz w:val="22"/>
          <w:szCs w:val="22"/>
        </w:rPr>
      </w:pPr>
      <w:r w:rsidRPr="00491E54">
        <w:rPr>
          <w:rFonts w:ascii="Arial" w:hAnsi="Arial" w:cs="Arial"/>
          <w:b/>
          <w:color w:val="1E35BF"/>
          <w:sz w:val="22"/>
          <w:szCs w:val="22"/>
        </w:rPr>
        <w:t>Supplementary guidance with regard to profit commission on line slips</w:t>
      </w:r>
    </w:p>
    <w:p w14:paraId="021A737F" w14:textId="77777777" w:rsidR="00491E54" w:rsidRPr="00491E54" w:rsidRDefault="00491E54" w:rsidP="00491E54">
      <w:pPr>
        <w:tabs>
          <w:tab w:val="right" w:pos="5897"/>
        </w:tabs>
        <w:spacing w:line="240" w:lineRule="atLeast"/>
        <w:rPr>
          <w:rFonts w:ascii="Arial" w:hAnsi="Arial" w:cs="Arial"/>
          <w:sz w:val="18"/>
          <w:szCs w:val="18"/>
        </w:rPr>
      </w:pPr>
    </w:p>
    <w:p w14:paraId="4BCD7F17"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It is understood that currently some line slips do permit profit commission for the named broker. Profit commission (“PC”) represents a high risk under the Bribery Act. This is because an agreement between a managing agent and a broker which rewards the broker for placing (profitable) business with the managing agent raises clear concerns that the broker may be influenced to place business with that managing agent even where that is otherwise contrary to its duties to its client. In this regard it is important to bear in mind that under a line slip the broker remains the agent for its client (the </w:t>
      </w:r>
      <w:r w:rsidRPr="00491E54">
        <w:rPr>
          <w:rFonts w:ascii="Arial" w:hAnsi="Arial" w:cs="Arial"/>
          <w:sz w:val="18"/>
          <w:szCs w:val="18"/>
        </w:rPr>
        <w:lastRenderedPageBreak/>
        <w:t>insured). (This is in contrast to the position where a broker acts as agent for underwriters under a binding authority, which includes under a “limited” or “prior submit” binding authority.)</w:t>
      </w:r>
    </w:p>
    <w:p w14:paraId="259178CA" w14:textId="77777777" w:rsidR="00491E54" w:rsidRPr="00491E54" w:rsidRDefault="00491E54" w:rsidP="00491E54">
      <w:pPr>
        <w:tabs>
          <w:tab w:val="right" w:pos="5897"/>
        </w:tabs>
        <w:spacing w:line="240" w:lineRule="atLeast"/>
        <w:rPr>
          <w:rFonts w:ascii="Arial" w:hAnsi="Arial" w:cs="Arial"/>
          <w:sz w:val="18"/>
          <w:szCs w:val="18"/>
        </w:rPr>
      </w:pPr>
    </w:p>
    <w:p w14:paraId="58D3A949"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However, the legal risks regarding agreement of PC under a line slip are likely to be materially less where the managing agent is reasonably satisfied that –</w:t>
      </w:r>
    </w:p>
    <w:p w14:paraId="4B122F6F" w14:textId="77777777" w:rsidR="00491E54" w:rsidRPr="00491E54" w:rsidRDefault="00491E54" w:rsidP="00491E54">
      <w:pPr>
        <w:tabs>
          <w:tab w:val="right" w:pos="5897"/>
        </w:tabs>
        <w:spacing w:line="240" w:lineRule="atLeast"/>
        <w:rPr>
          <w:rFonts w:ascii="Arial" w:hAnsi="Arial" w:cs="Arial"/>
          <w:sz w:val="18"/>
          <w:szCs w:val="18"/>
        </w:rPr>
      </w:pPr>
    </w:p>
    <w:p w14:paraId="13B28DF8" w14:textId="3B068864" w:rsidR="00491E54" w:rsidRPr="00605EA3" w:rsidRDefault="00491E54" w:rsidP="007533D0">
      <w:pPr>
        <w:pStyle w:val="ListParagraph"/>
        <w:numPr>
          <w:ilvl w:val="0"/>
          <w:numId w:val="42"/>
        </w:numPr>
        <w:tabs>
          <w:tab w:val="num" w:pos="710"/>
          <w:tab w:val="num" w:pos="1525"/>
          <w:tab w:val="right" w:pos="5897"/>
          <w:tab w:val="right" w:pos="9582"/>
        </w:tabs>
        <w:spacing w:after="120" w:line="240" w:lineRule="atLeast"/>
        <w:rPr>
          <w:rFonts w:ascii="Arial" w:hAnsi="Arial" w:cs="Arial"/>
          <w:sz w:val="18"/>
          <w:szCs w:val="18"/>
        </w:rPr>
      </w:pPr>
      <w:r w:rsidRPr="00605EA3">
        <w:rPr>
          <w:rFonts w:ascii="Arial" w:hAnsi="Arial" w:cs="Arial"/>
          <w:sz w:val="18"/>
          <w:szCs w:val="18"/>
        </w:rPr>
        <w:t>the broker has expressly stated to its client that it will not be undertaking a fair market analysis when seeking terms for the client (but instead will seek to place the business under the line slip); and</w:t>
      </w:r>
    </w:p>
    <w:p w14:paraId="43FD1200" w14:textId="584FDEF6" w:rsidR="00491E54" w:rsidRPr="00605EA3" w:rsidRDefault="00491E54" w:rsidP="007533D0">
      <w:pPr>
        <w:pStyle w:val="ListParagraph"/>
        <w:numPr>
          <w:ilvl w:val="0"/>
          <w:numId w:val="42"/>
        </w:numPr>
        <w:tabs>
          <w:tab w:val="num" w:pos="644"/>
          <w:tab w:val="num" w:pos="1525"/>
          <w:tab w:val="right" w:pos="5897"/>
          <w:tab w:val="right" w:pos="9582"/>
        </w:tabs>
        <w:spacing w:after="120" w:line="240" w:lineRule="atLeast"/>
        <w:rPr>
          <w:rFonts w:ascii="Arial" w:hAnsi="Arial" w:cs="Arial"/>
          <w:sz w:val="18"/>
          <w:szCs w:val="18"/>
        </w:rPr>
      </w:pPr>
      <w:r w:rsidRPr="00605EA3">
        <w:rPr>
          <w:rFonts w:ascii="Arial" w:hAnsi="Arial" w:cs="Arial"/>
          <w:sz w:val="18"/>
          <w:szCs w:val="18"/>
        </w:rPr>
        <w:t>the broker has disclosed, or will disclose, the remuneration arrangements to its client in accordance with the broker’s duties under ICOBS and in accordance with any additional fiduciary duties it owes its client; and</w:t>
      </w:r>
    </w:p>
    <w:p w14:paraId="5EA85899" w14:textId="6953D1CA" w:rsidR="00491E54" w:rsidRPr="00605EA3" w:rsidRDefault="00491E54" w:rsidP="007533D0">
      <w:pPr>
        <w:pStyle w:val="ListParagraph"/>
        <w:numPr>
          <w:ilvl w:val="0"/>
          <w:numId w:val="42"/>
        </w:numPr>
        <w:tabs>
          <w:tab w:val="num" w:pos="644"/>
          <w:tab w:val="num" w:pos="1525"/>
          <w:tab w:val="right" w:pos="5897"/>
          <w:tab w:val="right" w:pos="9582"/>
        </w:tabs>
        <w:spacing w:after="120" w:line="240" w:lineRule="atLeast"/>
        <w:rPr>
          <w:rFonts w:ascii="Arial" w:hAnsi="Arial" w:cs="Arial"/>
          <w:sz w:val="18"/>
          <w:szCs w:val="18"/>
        </w:rPr>
      </w:pPr>
      <w:r w:rsidRPr="00605EA3">
        <w:rPr>
          <w:rFonts w:ascii="Arial" w:hAnsi="Arial" w:cs="Arial"/>
          <w:sz w:val="18"/>
          <w:szCs w:val="18"/>
        </w:rPr>
        <w:t>the broker is, when required or requested to disclose the remuneration it receives under the line slip, expressly providing the client with details of the level of the PC and basis of calculation.</w:t>
      </w:r>
    </w:p>
    <w:p w14:paraId="7B5BD42C" w14:textId="77777777" w:rsidR="00491E54" w:rsidRPr="00491E54" w:rsidRDefault="00491E54" w:rsidP="00491E54">
      <w:pPr>
        <w:tabs>
          <w:tab w:val="right" w:pos="5897"/>
        </w:tabs>
        <w:spacing w:line="240" w:lineRule="atLeast"/>
        <w:rPr>
          <w:rFonts w:ascii="Arial" w:hAnsi="Arial" w:cs="Arial"/>
          <w:sz w:val="18"/>
          <w:szCs w:val="18"/>
        </w:rPr>
      </w:pPr>
    </w:p>
    <w:p w14:paraId="0CE7A016"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In the case where the client is separately paying its broker a fee, and the managing agent is aware of this arrangement, then the managing agent should satisfy itself that the broker is disclosing the remuneration details (including the PC) in respect of each contract of insurance whether or not the client specifically requests disclosure.</w:t>
      </w:r>
    </w:p>
    <w:p w14:paraId="2CF52876" w14:textId="77777777" w:rsidR="00491E54" w:rsidRPr="00491E54" w:rsidRDefault="00491E54" w:rsidP="00491E54">
      <w:pPr>
        <w:tabs>
          <w:tab w:val="right" w:pos="5897"/>
        </w:tabs>
        <w:spacing w:line="240" w:lineRule="atLeast"/>
        <w:rPr>
          <w:rFonts w:ascii="Arial" w:hAnsi="Arial" w:cs="Arial"/>
          <w:sz w:val="18"/>
          <w:szCs w:val="18"/>
        </w:rPr>
      </w:pPr>
    </w:p>
    <w:p w14:paraId="541E00BF"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The broker is under an ICOBS obligation always to state to its client whether or not it is operating on a fair analysis basis or only dealing with a limited number of insurers (or one only) (ICOBS 4.1.6R).</w:t>
      </w:r>
    </w:p>
    <w:p w14:paraId="1E0F7CF9" w14:textId="77777777" w:rsidR="00491E54" w:rsidRPr="00491E54" w:rsidRDefault="00491E54" w:rsidP="00491E54">
      <w:pPr>
        <w:tabs>
          <w:tab w:val="right" w:pos="5897"/>
        </w:tabs>
        <w:spacing w:line="240" w:lineRule="atLeast"/>
        <w:rPr>
          <w:rFonts w:ascii="Arial" w:hAnsi="Arial" w:cs="Arial"/>
          <w:sz w:val="18"/>
          <w:szCs w:val="18"/>
        </w:rPr>
      </w:pPr>
    </w:p>
    <w:p w14:paraId="533A3146"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In these circumstances, and where the managing agent is satisfied that the broker has appropriate processes to comply with its regulatory and fiduciary obligations and adequate procedures under the Bribery Act, the managing agent may decide that allowing PC is acceptable since the concern that the broker might improperly perform its duties to its client to seek best terms would not arise.</w:t>
      </w:r>
    </w:p>
    <w:p w14:paraId="7A813BF1" w14:textId="77777777" w:rsidR="00491E54" w:rsidRPr="00491E54" w:rsidRDefault="00491E54" w:rsidP="00491E54">
      <w:pPr>
        <w:tabs>
          <w:tab w:val="right" w:pos="5897"/>
        </w:tabs>
        <w:spacing w:line="240" w:lineRule="atLeast"/>
        <w:rPr>
          <w:rFonts w:ascii="Arial" w:hAnsi="Arial" w:cs="Arial"/>
          <w:sz w:val="18"/>
          <w:szCs w:val="18"/>
        </w:rPr>
      </w:pPr>
    </w:p>
    <w:p w14:paraId="4AE593DF" w14:textId="77777777" w:rsidR="00491E54" w:rsidRPr="00491E54" w:rsidRDefault="00491E54" w:rsidP="00491E54">
      <w:pPr>
        <w:keepNext/>
        <w:tabs>
          <w:tab w:val="right" w:pos="5897"/>
        </w:tabs>
        <w:spacing w:line="240" w:lineRule="atLeast"/>
        <w:rPr>
          <w:rFonts w:ascii="Arial" w:hAnsi="Arial" w:cs="Arial"/>
          <w:b/>
          <w:color w:val="1E35BF"/>
          <w:sz w:val="22"/>
          <w:szCs w:val="22"/>
        </w:rPr>
      </w:pPr>
      <w:r w:rsidRPr="00491E54">
        <w:rPr>
          <w:rFonts w:ascii="Arial" w:hAnsi="Arial" w:cs="Arial"/>
          <w:b/>
          <w:color w:val="1E35BF"/>
          <w:sz w:val="22"/>
          <w:szCs w:val="22"/>
        </w:rPr>
        <w:t>Supplementary guidance with regard to profit commission on binding authorities</w:t>
      </w:r>
    </w:p>
    <w:p w14:paraId="6466ADA6" w14:textId="77777777" w:rsidR="00491E54" w:rsidRPr="00491E54" w:rsidRDefault="00491E54" w:rsidP="00491E54">
      <w:pPr>
        <w:keepNext/>
        <w:tabs>
          <w:tab w:val="right" w:pos="5897"/>
        </w:tabs>
        <w:spacing w:line="240" w:lineRule="atLeast"/>
        <w:rPr>
          <w:rFonts w:ascii="Arial" w:hAnsi="Arial" w:cs="Arial"/>
          <w:sz w:val="18"/>
          <w:szCs w:val="18"/>
        </w:rPr>
      </w:pPr>
    </w:p>
    <w:p w14:paraId="522098C3"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In some cases binding authorities provide for profit commission to be payable to both the </w:t>
      </w:r>
      <w:proofErr w:type="spellStart"/>
      <w:r w:rsidRPr="00491E54">
        <w:rPr>
          <w:rFonts w:ascii="Arial" w:hAnsi="Arial" w:cs="Arial"/>
          <w:sz w:val="18"/>
          <w:szCs w:val="18"/>
        </w:rPr>
        <w:t>coverholder</w:t>
      </w:r>
      <w:proofErr w:type="spellEnd"/>
      <w:r w:rsidRPr="00491E54">
        <w:rPr>
          <w:rFonts w:ascii="Arial" w:hAnsi="Arial" w:cs="Arial"/>
          <w:sz w:val="18"/>
          <w:szCs w:val="18"/>
        </w:rPr>
        <w:t xml:space="preserve"> and also to the Lloyd’s broker which placed the binding authority on behalf of its client (the </w:t>
      </w:r>
      <w:proofErr w:type="spellStart"/>
      <w:r w:rsidRPr="00491E54">
        <w:rPr>
          <w:rFonts w:ascii="Arial" w:hAnsi="Arial" w:cs="Arial"/>
          <w:sz w:val="18"/>
          <w:szCs w:val="18"/>
        </w:rPr>
        <w:t>coverholder</w:t>
      </w:r>
      <w:proofErr w:type="spellEnd"/>
      <w:r w:rsidRPr="00491E54">
        <w:rPr>
          <w:rFonts w:ascii="Arial" w:hAnsi="Arial" w:cs="Arial"/>
          <w:sz w:val="18"/>
          <w:szCs w:val="18"/>
        </w:rPr>
        <w:t xml:space="preserve">). Where – </w:t>
      </w:r>
    </w:p>
    <w:p w14:paraId="47915A6A" w14:textId="77777777" w:rsidR="00491E54" w:rsidRPr="00491E54" w:rsidRDefault="00491E54" w:rsidP="00491E54">
      <w:pPr>
        <w:tabs>
          <w:tab w:val="right" w:pos="5897"/>
        </w:tabs>
        <w:spacing w:line="240" w:lineRule="atLeast"/>
        <w:rPr>
          <w:rFonts w:ascii="Arial" w:hAnsi="Arial" w:cs="Arial"/>
          <w:sz w:val="18"/>
          <w:szCs w:val="18"/>
        </w:rPr>
      </w:pPr>
    </w:p>
    <w:p w14:paraId="2E466BBA" w14:textId="77777777" w:rsidR="00491E54" w:rsidRPr="00491E54" w:rsidRDefault="00491E54" w:rsidP="00DA0557">
      <w:pPr>
        <w:numPr>
          <w:ilvl w:val="0"/>
          <w:numId w:val="16"/>
        </w:numPr>
        <w:tabs>
          <w:tab w:val="num" w:pos="644"/>
          <w:tab w:val="right" w:pos="5897"/>
          <w:tab w:val="right" w:pos="9582"/>
        </w:tabs>
        <w:spacing w:after="120" w:line="240" w:lineRule="atLeast"/>
        <w:rPr>
          <w:rFonts w:ascii="Arial" w:hAnsi="Arial" w:cs="Arial"/>
          <w:sz w:val="18"/>
          <w:szCs w:val="18"/>
        </w:rPr>
      </w:pPr>
      <w:r w:rsidRPr="00491E54">
        <w:rPr>
          <w:rFonts w:ascii="Arial" w:hAnsi="Arial" w:cs="Arial"/>
          <w:sz w:val="18"/>
          <w:szCs w:val="18"/>
        </w:rPr>
        <w:t xml:space="preserve">the Lloyd’s broker’s only role is acting for the </w:t>
      </w:r>
      <w:proofErr w:type="spellStart"/>
      <w:r w:rsidRPr="00491E54">
        <w:rPr>
          <w:rFonts w:ascii="Arial" w:hAnsi="Arial" w:cs="Arial"/>
          <w:sz w:val="18"/>
          <w:szCs w:val="18"/>
        </w:rPr>
        <w:t>coverholder</w:t>
      </w:r>
      <w:proofErr w:type="spellEnd"/>
      <w:r w:rsidRPr="00491E54">
        <w:rPr>
          <w:rFonts w:ascii="Arial" w:hAnsi="Arial" w:cs="Arial"/>
          <w:sz w:val="18"/>
          <w:szCs w:val="18"/>
        </w:rPr>
        <w:t xml:space="preserve"> in placing the binding authority (and not acting for the ultimate policyholders); and </w:t>
      </w:r>
    </w:p>
    <w:p w14:paraId="5E9F8287" w14:textId="77777777" w:rsidR="00491E54" w:rsidRPr="00491E54" w:rsidRDefault="00491E54" w:rsidP="00DA0557">
      <w:pPr>
        <w:numPr>
          <w:ilvl w:val="0"/>
          <w:numId w:val="16"/>
        </w:numPr>
        <w:tabs>
          <w:tab w:val="num" w:pos="644"/>
          <w:tab w:val="right" w:pos="5897"/>
          <w:tab w:val="right" w:pos="9582"/>
        </w:tabs>
        <w:spacing w:after="120" w:line="240" w:lineRule="atLeast"/>
        <w:rPr>
          <w:rFonts w:ascii="Arial" w:hAnsi="Arial" w:cs="Arial"/>
          <w:sz w:val="18"/>
          <w:szCs w:val="18"/>
        </w:rPr>
      </w:pPr>
      <w:r w:rsidRPr="00491E54">
        <w:rPr>
          <w:rFonts w:ascii="Arial" w:hAnsi="Arial" w:cs="Arial"/>
          <w:sz w:val="18"/>
          <w:szCs w:val="18"/>
        </w:rPr>
        <w:t>where the profit commission arrangement for the Lloyd’s broker is included in the binding authority</w:t>
      </w:r>
    </w:p>
    <w:p w14:paraId="285F6B95" w14:textId="77777777" w:rsidR="00491E54" w:rsidRPr="00491E54" w:rsidRDefault="00491E54" w:rsidP="00491E54">
      <w:pPr>
        <w:tabs>
          <w:tab w:val="right" w:pos="5897"/>
        </w:tabs>
        <w:spacing w:line="240" w:lineRule="atLeast"/>
        <w:rPr>
          <w:rFonts w:ascii="Arial" w:hAnsi="Arial" w:cs="Arial"/>
          <w:sz w:val="18"/>
          <w:szCs w:val="18"/>
        </w:rPr>
      </w:pPr>
    </w:p>
    <w:p w14:paraId="6FAEF43D"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then there should not be a concern from the Bribery Act. This is because the broker’s client (the </w:t>
      </w:r>
      <w:proofErr w:type="spellStart"/>
      <w:r w:rsidRPr="00491E54">
        <w:rPr>
          <w:rFonts w:ascii="Arial" w:hAnsi="Arial" w:cs="Arial"/>
          <w:sz w:val="18"/>
          <w:szCs w:val="18"/>
        </w:rPr>
        <w:t>coverholder</w:t>
      </w:r>
      <w:proofErr w:type="spellEnd"/>
      <w:r w:rsidRPr="00491E54">
        <w:rPr>
          <w:rFonts w:ascii="Arial" w:hAnsi="Arial" w:cs="Arial"/>
          <w:sz w:val="18"/>
          <w:szCs w:val="18"/>
        </w:rPr>
        <w:t>) is a party to the binding authority agreement permitting the profit commission.</w:t>
      </w:r>
    </w:p>
    <w:p w14:paraId="25DCC272" w14:textId="77777777" w:rsidR="00491E54" w:rsidRPr="00491E54" w:rsidRDefault="00491E54" w:rsidP="00491E54">
      <w:pPr>
        <w:tabs>
          <w:tab w:val="right" w:pos="5897"/>
        </w:tabs>
        <w:spacing w:line="240" w:lineRule="atLeast"/>
        <w:rPr>
          <w:rFonts w:ascii="Arial" w:hAnsi="Arial" w:cs="Arial"/>
          <w:sz w:val="18"/>
          <w:szCs w:val="18"/>
        </w:rPr>
      </w:pPr>
    </w:p>
    <w:p w14:paraId="211C53AD" w14:textId="77777777" w:rsidR="00491E54" w:rsidRPr="00491E54" w:rsidRDefault="00491E54" w:rsidP="00491E54">
      <w:pPr>
        <w:keepNext/>
        <w:tabs>
          <w:tab w:val="right" w:pos="5897"/>
        </w:tabs>
        <w:spacing w:line="240" w:lineRule="atLeast"/>
        <w:rPr>
          <w:rFonts w:ascii="Arial" w:hAnsi="Arial" w:cs="Arial"/>
          <w:color w:val="1E35BF"/>
          <w:sz w:val="22"/>
          <w:szCs w:val="22"/>
        </w:rPr>
      </w:pPr>
      <w:bookmarkStart w:id="14" w:name="_Hlk154142122"/>
      <w:r w:rsidRPr="00491E54">
        <w:rPr>
          <w:rFonts w:ascii="Arial" w:hAnsi="Arial" w:cs="Arial"/>
          <w:b/>
          <w:color w:val="1E35BF"/>
          <w:sz w:val="22"/>
          <w:szCs w:val="22"/>
        </w:rPr>
        <w:t>Managing agent recording of arrangements and reporting to Lloyd’s</w:t>
      </w:r>
    </w:p>
    <w:p w14:paraId="56C2D988" w14:textId="77777777" w:rsidR="00491E54" w:rsidRPr="00491E54" w:rsidRDefault="00491E54" w:rsidP="00491E54">
      <w:pPr>
        <w:keepNext/>
        <w:tabs>
          <w:tab w:val="right" w:pos="5897"/>
        </w:tabs>
        <w:spacing w:line="240" w:lineRule="atLeast"/>
        <w:rPr>
          <w:rFonts w:ascii="Arial" w:hAnsi="Arial" w:cs="Arial"/>
          <w:color w:val="1E35BF"/>
          <w:sz w:val="22"/>
          <w:szCs w:val="22"/>
        </w:rPr>
      </w:pPr>
    </w:p>
    <w:p w14:paraId="0C200D67" w14:textId="77777777" w:rsidR="00491E54" w:rsidRPr="00491E54" w:rsidRDefault="00491E54" w:rsidP="00491E54">
      <w:pPr>
        <w:tabs>
          <w:tab w:val="right" w:pos="5897"/>
        </w:tabs>
        <w:spacing w:line="240" w:lineRule="atLeast"/>
        <w:rPr>
          <w:rFonts w:ascii="Arial" w:hAnsi="Arial" w:cs="Arial"/>
          <w:sz w:val="18"/>
          <w:szCs w:val="18"/>
        </w:rPr>
      </w:pPr>
      <w:bookmarkStart w:id="15" w:name="_Hlk155103978"/>
      <w:r w:rsidRPr="00491E54">
        <w:rPr>
          <w:rFonts w:ascii="Arial" w:hAnsi="Arial" w:cs="Arial"/>
          <w:sz w:val="18"/>
          <w:szCs w:val="18"/>
        </w:rPr>
        <w:t xml:space="preserve">While managing agents are no longer required to submit an annual Broker Remuneration Return, Lloyd’s considers that recording appropriate information is an important control to help managing agents identify, assess and manage any legal or regulatory risks arising from any remuneration arrangements (including risks under the Bribery Act). Managing agents are therefore encouraged to continue to record and retain the information required by the Return as part of their own internal controls. </w:t>
      </w:r>
    </w:p>
    <w:p w14:paraId="44AED779" w14:textId="77777777" w:rsidR="00491E54" w:rsidRPr="00491E54" w:rsidRDefault="00491E54" w:rsidP="00491E54">
      <w:pPr>
        <w:tabs>
          <w:tab w:val="right" w:pos="5897"/>
        </w:tabs>
        <w:spacing w:line="240" w:lineRule="atLeast"/>
        <w:rPr>
          <w:rFonts w:ascii="Arial" w:hAnsi="Arial" w:cs="Arial"/>
          <w:sz w:val="18"/>
          <w:szCs w:val="18"/>
        </w:rPr>
      </w:pPr>
    </w:p>
    <w:p w14:paraId="028D197F"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Details of the return previously required and the accompanying guidance are made available by Lloyd’s for use by managing agents.  (Contact </w:t>
      </w:r>
      <w:hyperlink r:id="rId15" w:history="1">
        <w:r w:rsidRPr="00491E54">
          <w:rPr>
            <w:rFonts w:ascii="Arial" w:hAnsi="Arial" w:cs="Arial"/>
            <w:color w:val="0000FF"/>
            <w:sz w:val="18"/>
            <w:szCs w:val="18"/>
            <w:u w:val="single"/>
          </w:rPr>
          <w:t>conduct@lloyd’s.com</w:t>
        </w:r>
      </w:hyperlink>
      <w:r w:rsidRPr="00491E54">
        <w:rPr>
          <w:rFonts w:ascii="Arial" w:hAnsi="Arial" w:cs="Arial"/>
          <w:sz w:val="18"/>
          <w:szCs w:val="18"/>
        </w:rPr>
        <w:t>).</w:t>
      </w:r>
    </w:p>
    <w:p w14:paraId="7A17DD1F" w14:textId="77777777" w:rsidR="00491E54" w:rsidRPr="00491E54" w:rsidRDefault="00491E54" w:rsidP="00491E54">
      <w:pPr>
        <w:tabs>
          <w:tab w:val="right" w:pos="5897"/>
        </w:tabs>
        <w:spacing w:line="240" w:lineRule="atLeast"/>
        <w:rPr>
          <w:rFonts w:ascii="Arial" w:hAnsi="Arial" w:cs="Arial"/>
          <w:sz w:val="18"/>
          <w:szCs w:val="18"/>
        </w:rPr>
      </w:pPr>
    </w:p>
    <w:p w14:paraId="008AF31E"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 xml:space="preserve">In addition, managing agents must notify Lloyd’s at </w:t>
      </w:r>
      <w:hyperlink r:id="rId16" w:history="1">
        <w:r w:rsidRPr="00491E54">
          <w:rPr>
            <w:rFonts w:ascii="Arial" w:hAnsi="Arial" w:cs="Arial"/>
            <w:color w:val="0000FF"/>
            <w:sz w:val="18"/>
            <w:szCs w:val="18"/>
            <w:u w:val="single"/>
          </w:rPr>
          <w:t>conduct@lloyds.com</w:t>
        </w:r>
      </w:hyperlink>
      <w:r w:rsidRPr="00491E54">
        <w:rPr>
          <w:rFonts w:ascii="Arial" w:hAnsi="Arial" w:cs="Arial"/>
          <w:sz w:val="18"/>
          <w:szCs w:val="18"/>
        </w:rPr>
        <w:t xml:space="preserve"> prior to entering into any new agreement which:</w:t>
      </w:r>
    </w:p>
    <w:p w14:paraId="6D9D6BE2" w14:textId="77777777" w:rsidR="00491E54" w:rsidRPr="00491E54" w:rsidRDefault="00491E54" w:rsidP="00491E54">
      <w:pPr>
        <w:tabs>
          <w:tab w:val="right" w:pos="5897"/>
        </w:tabs>
        <w:spacing w:line="240" w:lineRule="atLeast"/>
        <w:rPr>
          <w:rFonts w:ascii="Arial" w:hAnsi="Arial" w:cs="Arial"/>
          <w:sz w:val="18"/>
          <w:szCs w:val="18"/>
        </w:rPr>
      </w:pPr>
    </w:p>
    <w:p w14:paraId="4B40C0D4" w14:textId="77777777" w:rsidR="00491E54" w:rsidRPr="00CF08B3" w:rsidRDefault="00491E54" w:rsidP="007533D0">
      <w:pPr>
        <w:pStyle w:val="ListParagraph"/>
        <w:numPr>
          <w:ilvl w:val="0"/>
          <w:numId w:val="43"/>
        </w:numPr>
        <w:tabs>
          <w:tab w:val="num" w:pos="426"/>
          <w:tab w:val="num" w:pos="596"/>
          <w:tab w:val="right" w:pos="9582"/>
        </w:tabs>
        <w:spacing w:line="240" w:lineRule="atLeast"/>
        <w:rPr>
          <w:rFonts w:ascii="Arial" w:hAnsi="Arial" w:cs="Arial"/>
          <w:sz w:val="18"/>
          <w:szCs w:val="18"/>
        </w:rPr>
      </w:pPr>
      <w:r w:rsidRPr="00CF08B3">
        <w:rPr>
          <w:rFonts w:ascii="Arial" w:hAnsi="Arial" w:cs="Arial"/>
          <w:sz w:val="18"/>
          <w:szCs w:val="18"/>
        </w:rPr>
        <w:t>involves an additional payment;</w:t>
      </w:r>
    </w:p>
    <w:p w14:paraId="0E325079" w14:textId="77777777" w:rsidR="00491E54" w:rsidRPr="00CF08B3" w:rsidRDefault="00491E54" w:rsidP="007533D0">
      <w:pPr>
        <w:pStyle w:val="ListParagraph"/>
        <w:numPr>
          <w:ilvl w:val="0"/>
          <w:numId w:val="43"/>
        </w:numPr>
        <w:tabs>
          <w:tab w:val="num" w:pos="426"/>
          <w:tab w:val="num" w:pos="596"/>
          <w:tab w:val="right" w:pos="9582"/>
        </w:tabs>
        <w:spacing w:line="240" w:lineRule="atLeast"/>
        <w:rPr>
          <w:rFonts w:ascii="Arial" w:hAnsi="Arial" w:cs="Arial"/>
          <w:sz w:val="18"/>
          <w:szCs w:val="18"/>
        </w:rPr>
      </w:pPr>
      <w:r w:rsidRPr="00CF08B3">
        <w:rPr>
          <w:rFonts w:ascii="Arial" w:hAnsi="Arial" w:cs="Arial"/>
          <w:sz w:val="18"/>
          <w:szCs w:val="18"/>
        </w:rPr>
        <w:t>is material to the managing agent’s business; and</w:t>
      </w:r>
    </w:p>
    <w:p w14:paraId="3B45E210" w14:textId="77777777" w:rsidR="00491E54" w:rsidRPr="00CF08B3" w:rsidRDefault="00491E54" w:rsidP="007533D0">
      <w:pPr>
        <w:pStyle w:val="ListParagraph"/>
        <w:numPr>
          <w:ilvl w:val="0"/>
          <w:numId w:val="43"/>
        </w:numPr>
        <w:tabs>
          <w:tab w:val="num" w:pos="426"/>
          <w:tab w:val="num" w:pos="596"/>
          <w:tab w:val="right" w:pos="9582"/>
        </w:tabs>
        <w:spacing w:line="240" w:lineRule="atLeast"/>
        <w:rPr>
          <w:rFonts w:ascii="Arial" w:hAnsi="Arial" w:cs="Arial"/>
          <w:sz w:val="18"/>
          <w:szCs w:val="18"/>
        </w:rPr>
      </w:pPr>
      <w:r w:rsidRPr="00CF08B3">
        <w:rPr>
          <w:rFonts w:ascii="Arial" w:hAnsi="Arial" w:cs="Arial"/>
          <w:sz w:val="18"/>
          <w:szCs w:val="18"/>
        </w:rPr>
        <w:t>is believed by the managing agent to present a significant risk, even if this risk will be appropriately managed and mitigated through internal governance and controls.</w:t>
      </w:r>
    </w:p>
    <w:bookmarkEnd w:id="14"/>
    <w:bookmarkEnd w:id="15"/>
    <w:p w14:paraId="02FE4AD2" w14:textId="77777777" w:rsidR="00491E54" w:rsidRPr="00491E54" w:rsidRDefault="00491E54" w:rsidP="00491E54">
      <w:pPr>
        <w:tabs>
          <w:tab w:val="right" w:pos="5897"/>
        </w:tabs>
        <w:spacing w:line="240" w:lineRule="atLeast"/>
        <w:rPr>
          <w:rFonts w:ascii="Arial" w:hAnsi="Arial" w:cs="Arial"/>
          <w:sz w:val="18"/>
          <w:szCs w:val="18"/>
        </w:rPr>
      </w:pPr>
    </w:p>
    <w:p w14:paraId="708906F2" w14:textId="77777777" w:rsidR="00491E54" w:rsidRPr="00491E54" w:rsidRDefault="00491E54" w:rsidP="00491E54">
      <w:pPr>
        <w:tabs>
          <w:tab w:val="right" w:pos="5897"/>
        </w:tabs>
        <w:spacing w:line="240" w:lineRule="atLeast"/>
        <w:rPr>
          <w:rFonts w:ascii="Arial" w:hAnsi="Arial" w:cs="Arial"/>
          <w:sz w:val="18"/>
          <w:szCs w:val="18"/>
        </w:rPr>
      </w:pPr>
    </w:p>
    <w:p w14:paraId="53DC55A5" w14:textId="77777777" w:rsidR="00491E54" w:rsidRPr="00491E54" w:rsidRDefault="00491E54" w:rsidP="001A55A3">
      <w:pPr>
        <w:pStyle w:val="Heading3"/>
      </w:pPr>
      <w:bookmarkStart w:id="16" w:name="_Toc236925685"/>
      <w:bookmarkStart w:id="17" w:name="_Hlk154135432"/>
      <w:r w:rsidRPr="00491E54">
        <w:t>“Grossing Up”/Net-Equivalent Clauses</w:t>
      </w:r>
      <w:bookmarkEnd w:id="16"/>
    </w:p>
    <w:p w14:paraId="46CE82B8" w14:textId="77777777" w:rsidR="00491E54" w:rsidRPr="00491E54" w:rsidRDefault="00491E54" w:rsidP="00491E54">
      <w:pPr>
        <w:keepNext/>
        <w:tabs>
          <w:tab w:val="right" w:pos="5897"/>
        </w:tabs>
        <w:spacing w:after="120" w:line="240" w:lineRule="atLeast"/>
        <w:rPr>
          <w:rFonts w:ascii="Arial" w:hAnsi="Arial"/>
          <w:sz w:val="18"/>
        </w:rPr>
      </w:pPr>
    </w:p>
    <w:p w14:paraId="7B799645" w14:textId="47655AC8"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Grossing up is a practice whereby the gross premium (</w:t>
      </w:r>
      <w:r w:rsidR="00CF08B3" w:rsidRPr="00491E54">
        <w:rPr>
          <w:rFonts w:ascii="Arial" w:hAnsi="Arial" w:cs="Arial"/>
          <w:sz w:val="18"/>
          <w:szCs w:val="18"/>
        </w:rPr>
        <w:t>i.e.</w:t>
      </w:r>
      <w:r w:rsidRPr="00491E54">
        <w:rPr>
          <w:rFonts w:ascii="Arial" w:hAnsi="Arial" w:cs="Arial"/>
          <w:sz w:val="18"/>
          <w:szCs w:val="18"/>
        </w:rPr>
        <w:t xml:space="preserve"> including commission) agreed between broker and insurer (or reinsurer) is less than the premium which the broker notifies the proposed policyholder is payable. The difference between the two amounts remains in the hands of the broker and the proposed policyholder is left unaware that they are paying a greater sum than has been agreed by the broker on their behalf with the insurer (or reinsurer).</w:t>
      </w:r>
    </w:p>
    <w:p w14:paraId="0286D593" w14:textId="77777777" w:rsidR="00491E54" w:rsidRPr="00491E54" w:rsidRDefault="00491E54" w:rsidP="00491E54">
      <w:pPr>
        <w:tabs>
          <w:tab w:val="right" w:pos="5897"/>
        </w:tabs>
        <w:spacing w:line="240" w:lineRule="atLeast"/>
        <w:rPr>
          <w:rFonts w:ascii="Arial" w:hAnsi="Arial" w:cs="Arial"/>
          <w:sz w:val="18"/>
          <w:szCs w:val="18"/>
        </w:rPr>
      </w:pPr>
    </w:p>
    <w:p w14:paraId="09BC094D"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Such a practice, without the informed consent of the proposed policyholder, is wholly unacceptable and is a breach of the agency duties which the broker owes the policyholder as its principal.</w:t>
      </w:r>
    </w:p>
    <w:p w14:paraId="0DBD787D" w14:textId="77777777" w:rsidR="00491E54" w:rsidRPr="00491E54" w:rsidRDefault="00491E54" w:rsidP="00491E54">
      <w:pPr>
        <w:tabs>
          <w:tab w:val="right" w:pos="5897"/>
        </w:tabs>
        <w:spacing w:line="240" w:lineRule="atLeast"/>
        <w:rPr>
          <w:rFonts w:ascii="Arial" w:hAnsi="Arial" w:cs="Arial"/>
          <w:sz w:val="18"/>
          <w:szCs w:val="18"/>
        </w:rPr>
      </w:pPr>
    </w:p>
    <w:p w14:paraId="38C40FA5" w14:textId="77777777" w:rsidR="00491E54" w:rsidRPr="00491E54" w:rsidRDefault="00491E54" w:rsidP="00491E54">
      <w:pPr>
        <w:tabs>
          <w:tab w:val="right" w:pos="5897"/>
        </w:tabs>
        <w:spacing w:line="240" w:lineRule="atLeast"/>
        <w:rPr>
          <w:rFonts w:ascii="Arial" w:hAnsi="Arial" w:cs="Arial"/>
          <w:sz w:val="18"/>
          <w:szCs w:val="18"/>
        </w:rPr>
      </w:pPr>
      <w:r w:rsidRPr="00491E54">
        <w:rPr>
          <w:rFonts w:ascii="Arial" w:hAnsi="Arial" w:cs="Arial"/>
          <w:sz w:val="18"/>
          <w:szCs w:val="18"/>
        </w:rPr>
        <w:t>In certain cases, slips have contained wordings which have allowed the broker to adjust the gross premium while the underwriter receives the same net premium (for example, contracts with an “or net equivalent” clause).</w:t>
      </w:r>
    </w:p>
    <w:p w14:paraId="5498F908" w14:textId="77777777" w:rsidR="00491E54" w:rsidRPr="00491E54" w:rsidRDefault="00491E54" w:rsidP="00491E54">
      <w:pPr>
        <w:tabs>
          <w:tab w:val="right" w:pos="5897"/>
        </w:tabs>
        <w:spacing w:line="240" w:lineRule="atLeast"/>
        <w:rPr>
          <w:rFonts w:ascii="Arial" w:hAnsi="Arial" w:cs="Arial"/>
          <w:sz w:val="18"/>
          <w:szCs w:val="18"/>
        </w:rPr>
      </w:pPr>
    </w:p>
    <w:p w14:paraId="27BA3109" w14:textId="77B14E54" w:rsidR="00491E54" w:rsidRPr="00491E54" w:rsidRDefault="00491E54" w:rsidP="00CF08B3">
      <w:pPr>
        <w:tabs>
          <w:tab w:val="right" w:pos="5897"/>
        </w:tabs>
        <w:spacing w:after="240" w:line="240" w:lineRule="atLeast"/>
        <w:rPr>
          <w:rFonts w:ascii="Arial" w:hAnsi="Arial" w:cs="Arial"/>
          <w:sz w:val="18"/>
          <w:szCs w:val="18"/>
        </w:rPr>
      </w:pPr>
      <w:r w:rsidRPr="00491E54">
        <w:rPr>
          <w:rFonts w:ascii="Arial" w:hAnsi="Arial" w:cs="Arial"/>
          <w:sz w:val="18"/>
          <w:szCs w:val="18"/>
        </w:rPr>
        <w:t>In view of the concerns that can arise from “grossing up” and the difficulties in ensuring that there is appropriate policyholder consent, managing agents should not include clauses in contracts where the commission is expressed as a net equivalent and may be varied by the broker, unless the commission appearing on the slip is expressed as a specific sum or maximum amount which can only be reduced.</w:t>
      </w:r>
      <w:bookmarkEnd w:id="17"/>
    </w:p>
    <w:p w14:paraId="2CF7EB5B" w14:textId="77777777" w:rsidR="00491E54" w:rsidRPr="00491E54" w:rsidRDefault="00491E54" w:rsidP="001A55A3">
      <w:pPr>
        <w:pStyle w:val="Heading3"/>
      </w:pPr>
      <w:bookmarkStart w:id="18" w:name="_Toc236925686"/>
      <w:r w:rsidRPr="00491E54">
        <w:t>Reinsurance to Close</w:t>
      </w:r>
      <w:bookmarkEnd w:id="18"/>
    </w:p>
    <w:p w14:paraId="3E0CC7AB" w14:textId="77777777" w:rsidR="00491E54" w:rsidRPr="00491E54" w:rsidRDefault="00491E54" w:rsidP="00491E54">
      <w:pPr>
        <w:tabs>
          <w:tab w:val="right" w:pos="5897"/>
        </w:tabs>
        <w:spacing w:after="120" w:line="240" w:lineRule="atLeast"/>
        <w:rPr>
          <w:rFonts w:ascii="Arial" w:hAnsi="Arial"/>
          <w:sz w:val="18"/>
        </w:rPr>
      </w:pPr>
    </w:p>
    <w:p w14:paraId="0B54BB26" w14:textId="77777777" w:rsidR="00491E54" w:rsidRPr="00491E54" w:rsidRDefault="00491E54" w:rsidP="00491E54">
      <w:pPr>
        <w:tabs>
          <w:tab w:val="right" w:pos="5897"/>
        </w:tabs>
        <w:spacing w:after="240" w:line="240" w:lineRule="atLeast"/>
        <w:rPr>
          <w:rFonts w:ascii="Arial" w:hAnsi="Arial" w:cs="Arial"/>
          <w:sz w:val="18"/>
          <w:szCs w:val="18"/>
        </w:rPr>
      </w:pPr>
      <w:r w:rsidRPr="00491E54">
        <w:rPr>
          <w:rFonts w:ascii="Arial" w:hAnsi="Arial"/>
          <w:b/>
          <w:color w:val="1E35BF"/>
          <w:sz w:val="22"/>
          <w:szCs w:val="22"/>
        </w:rPr>
        <w:t>Documentation of RITC contracts</w:t>
      </w:r>
    </w:p>
    <w:p w14:paraId="4C9C53FB" w14:textId="77777777" w:rsidR="00491E54" w:rsidRPr="00491E54" w:rsidRDefault="00491E54" w:rsidP="00491E54">
      <w:pPr>
        <w:tabs>
          <w:tab w:val="right" w:pos="5897"/>
        </w:tabs>
        <w:spacing w:line="240" w:lineRule="atLeast"/>
        <w:rPr>
          <w:rFonts w:ascii="Arial" w:hAnsi="Arial"/>
          <w:sz w:val="18"/>
          <w:szCs w:val="18"/>
        </w:rPr>
      </w:pPr>
      <w:r w:rsidRPr="00491E54">
        <w:rPr>
          <w:rFonts w:ascii="Arial" w:hAnsi="Arial"/>
          <w:sz w:val="18"/>
          <w:szCs w:val="18"/>
        </w:rPr>
        <w:t xml:space="preserve">Managing agents closing open years of accounts of syndicates under their management must ensure that any reinsurance to close is properly documented in a Contract of Reinsurance to Close.  This requirement applies to all syndicates closing years of account where there is more than one member of the syndicate on either the reinsuring year or on the reinsured year.  This also applies where both the reinsuring and reinsured year consists of a single member but where the legal identity of the reinsured and reinsuring member is different.  </w:t>
      </w:r>
    </w:p>
    <w:p w14:paraId="244EA059" w14:textId="77777777" w:rsidR="00491E54" w:rsidRPr="00491E54" w:rsidRDefault="00491E54" w:rsidP="00491E54">
      <w:pPr>
        <w:tabs>
          <w:tab w:val="right" w:pos="5897"/>
        </w:tabs>
        <w:spacing w:line="240" w:lineRule="atLeast"/>
        <w:rPr>
          <w:rFonts w:ascii="Arial" w:hAnsi="Arial"/>
          <w:sz w:val="18"/>
          <w:szCs w:val="18"/>
        </w:rPr>
      </w:pPr>
    </w:p>
    <w:p w14:paraId="776A39D7" w14:textId="77777777" w:rsidR="00491E54" w:rsidRPr="00491E54" w:rsidRDefault="00491E54" w:rsidP="00491E54">
      <w:pPr>
        <w:tabs>
          <w:tab w:val="right" w:pos="5897"/>
        </w:tabs>
        <w:spacing w:line="240" w:lineRule="atLeast"/>
        <w:rPr>
          <w:rFonts w:ascii="Arial" w:hAnsi="Arial"/>
          <w:sz w:val="18"/>
          <w:szCs w:val="18"/>
        </w:rPr>
      </w:pPr>
      <w:r w:rsidRPr="00491E54">
        <w:rPr>
          <w:rFonts w:ascii="Arial" w:hAnsi="Arial"/>
          <w:sz w:val="18"/>
          <w:szCs w:val="18"/>
        </w:rPr>
        <w:t>Where the syndicate has one member which is the only member on both the year of account that is being closed and on the year of account into which the open year is being closed, no reinsurance to close is required.  The managing agent of the syndicate must, however, ensure that it complies with all other accounting and Lloyd’s requirements for closing syndicate years of accounts.</w:t>
      </w:r>
    </w:p>
    <w:p w14:paraId="4139E032" w14:textId="77777777" w:rsidR="00491E54" w:rsidRPr="00491E54" w:rsidRDefault="00491E54" w:rsidP="00491E54">
      <w:pPr>
        <w:tabs>
          <w:tab w:val="right" w:pos="5897"/>
        </w:tabs>
        <w:spacing w:line="240" w:lineRule="atLeast"/>
        <w:rPr>
          <w:rFonts w:ascii="Arial" w:hAnsi="Arial"/>
          <w:sz w:val="18"/>
          <w:szCs w:val="18"/>
        </w:rPr>
      </w:pPr>
    </w:p>
    <w:p w14:paraId="645AB800" w14:textId="77777777" w:rsidR="00491E54" w:rsidRPr="00491E54" w:rsidRDefault="00491E54" w:rsidP="00491E54">
      <w:pPr>
        <w:tabs>
          <w:tab w:val="right" w:pos="5897"/>
        </w:tabs>
        <w:spacing w:line="240" w:lineRule="atLeast"/>
        <w:rPr>
          <w:rFonts w:ascii="Arial" w:hAnsi="Arial"/>
          <w:b/>
          <w:color w:val="1E35BF"/>
          <w:sz w:val="18"/>
          <w:szCs w:val="18"/>
        </w:rPr>
      </w:pPr>
      <w:r w:rsidRPr="00491E54">
        <w:rPr>
          <w:rFonts w:ascii="Arial" w:hAnsi="Arial"/>
          <w:b/>
          <w:color w:val="1E35BF"/>
          <w:sz w:val="22"/>
          <w:szCs w:val="22"/>
        </w:rPr>
        <w:t>Mandatory terms in contracts</w:t>
      </w:r>
    </w:p>
    <w:p w14:paraId="0751D00A" w14:textId="77777777" w:rsidR="00491E54" w:rsidRPr="00491E54" w:rsidRDefault="00491E54" w:rsidP="00491E54">
      <w:pPr>
        <w:tabs>
          <w:tab w:val="right" w:pos="5897"/>
        </w:tabs>
        <w:spacing w:line="240" w:lineRule="atLeast"/>
        <w:rPr>
          <w:rFonts w:ascii="Arial" w:hAnsi="Arial"/>
          <w:sz w:val="18"/>
          <w:szCs w:val="18"/>
        </w:rPr>
      </w:pPr>
    </w:p>
    <w:p w14:paraId="68A6C2A8" w14:textId="77777777" w:rsidR="00491E54" w:rsidRPr="00491E54" w:rsidRDefault="00491E54" w:rsidP="00491E54">
      <w:pPr>
        <w:tabs>
          <w:tab w:val="right" w:pos="5897"/>
        </w:tabs>
        <w:spacing w:line="240" w:lineRule="atLeast"/>
        <w:rPr>
          <w:rFonts w:ascii="Arial" w:hAnsi="Arial"/>
          <w:sz w:val="18"/>
          <w:szCs w:val="18"/>
        </w:rPr>
      </w:pPr>
      <w:r w:rsidRPr="00491E54">
        <w:rPr>
          <w:rFonts w:ascii="Arial" w:hAnsi="Arial"/>
          <w:sz w:val="18"/>
          <w:szCs w:val="18"/>
        </w:rPr>
        <w:t>Every contract of reinsurance to close underwritten by members of a syndicate shall, unless Lloyd’s otherwise agrees (whether generally or in relation to a particular case) include express terms to the following effect –</w:t>
      </w:r>
    </w:p>
    <w:p w14:paraId="60869B9E" w14:textId="77777777" w:rsidR="00491E54" w:rsidRPr="00491E54" w:rsidRDefault="00491E54" w:rsidP="00491E54">
      <w:pPr>
        <w:tabs>
          <w:tab w:val="right" w:pos="5897"/>
        </w:tabs>
        <w:spacing w:line="240" w:lineRule="atLeast"/>
        <w:ind w:left="-142"/>
        <w:rPr>
          <w:rFonts w:ascii="Arial" w:hAnsi="Arial"/>
          <w:sz w:val="18"/>
          <w:szCs w:val="18"/>
        </w:rPr>
      </w:pPr>
    </w:p>
    <w:p w14:paraId="270CEE84" w14:textId="57F39539" w:rsidR="00491E54" w:rsidRPr="00CF08B3" w:rsidRDefault="00491E54" w:rsidP="00ED01A5">
      <w:pPr>
        <w:pStyle w:val="ListParagraph"/>
        <w:numPr>
          <w:ilvl w:val="0"/>
          <w:numId w:val="44"/>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the reinsuring members unconditionally agree to indemnify the reinsured members, without limit as to time or amount, in respect of the net amount of all known or unknown losses, claims, refunds, reinsurance premiums, outgoings, expenses and other liabilities (including extra-contractual obligations for punitive or penal damages and obligations to provide regulatory redress as a result of policyholder complaints) arising in relation to the underwriting business of the syndicate for the reinsured year of account (and earlier years of account of the same or any other syndicate reinsured to close into that year of account) (the “underwriting business”) after taking account of all amounts recoverable by the reinsured members under syndicate reinsurances in respect of those liabilities and actually recovered on or after the inception date of the contract;</w:t>
      </w:r>
    </w:p>
    <w:p w14:paraId="362709EE" w14:textId="77777777" w:rsidR="00491E54" w:rsidRPr="00491E54" w:rsidRDefault="00491E54" w:rsidP="00ED01A5">
      <w:pPr>
        <w:tabs>
          <w:tab w:val="num" w:pos="426"/>
          <w:tab w:val="num" w:pos="1525"/>
          <w:tab w:val="right" w:pos="5897"/>
        </w:tabs>
        <w:spacing w:line="240" w:lineRule="atLeast"/>
        <w:ind w:left="28"/>
        <w:rPr>
          <w:rFonts w:ascii="Arial" w:hAnsi="Arial"/>
          <w:sz w:val="18"/>
          <w:szCs w:val="18"/>
        </w:rPr>
      </w:pPr>
    </w:p>
    <w:p w14:paraId="12B4D059" w14:textId="78AB899B" w:rsidR="00491E54" w:rsidRPr="00CF08B3" w:rsidRDefault="00491E54" w:rsidP="00ED01A5">
      <w:pPr>
        <w:pStyle w:val="ListParagraph"/>
        <w:numPr>
          <w:ilvl w:val="0"/>
          <w:numId w:val="44"/>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notwithstanding that the indemnity under the contract is against liabilities net of syndicate reinsurance recoveries or that the ultimate net liability of the reinsuring members may not yet have been ascertained, the reinsuring members shall discharge or procure the discharge of the liabilities of the reinsured members;</w:t>
      </w:r>
    </w:p>
    <w:p w14:paraId="3DA9947D" w14:textId="77777777" w:rsidR="00491E54" w:rsidRPr="00491E54" w:rsidRDefault="00491E54" w:rsidP="00491E54">
      <w:pPr>
        <w:tabs>
          <w:tab w:val="num" w:pos="426"/>
          <w:tab w:val="right" w:pos="5897"/>
        </w:tabs>
        <w:spacing w:line="240" w:lineRule="atLeast"/>
        <w:ind w:left="28"/>
        <w:rPr>
          <w:rFonts w:ascii="Arial" w:hAnsi="Arial"/>
          <w:sz w:val="18"/>
          <w:szCs w:val="18"/>
        </w:rPr>
      </w:pPr>
    </w:p>
    <w:p w14:paraId="2DB2550E" w14:textId="71183135" w:rsidR="00491E54" w:rsidRPr="00CF08B3" w:rsidRDefault="00491E54" w:rsidP="007533D0">
      <w:pPr>
        <w:pStyle w:val="ListParagraph"/>
        <w:numPr>
          <w:ilvl w:val="0"/>
          <w:numId w:val="44"/>
        </w:numPr>
        <w:tabs>
          <w:tab w:val="num" w:pos="85"/>
          <w:tab w:val="num" w:pos="568"/>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either:</w:t>
      </w:r>
    </w:p>
    <w:p w14:paraId="2D75C52A" w14:textId="69498661" w:rsidR="00491E54" w:rsidRPr="00CF08B3" w:rsidRDefault="00491E54" w:rsidP="007533D0">
      <w:pPr>
        <w:pStyle w:val="ListParagraph"/>
        <w:numPr>
          <w:ilvl w:val="0"/>
          <w:numId w:val="45"/>
        </w:numPr>
        <w:tabs>
          <w:tab w:val="num" w:pos="880"/>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lastRenderedPageBreak/>
        <w:t>the rights to receive all premiums, recoveries and other monies recoverable at any time in connection with the insurance business of the reinsured members are assigned to the reinsuring members by the contract or are to be assigned on their subsequent request; or</w:t>
      </w:r>
    </w:p>
    <w:p w14:paraId="1A19B640" w14:textId="355E41B0" w:rsidR="00491E54" w:rsidRPr="00CF08B3" w:rsidRDefault="00491E54" w:rsidP="007533D0">
      <w:pPr>
        <w:pStyle w:val="ListParagraph"/>
        <w:numPr>
          <w:ilvl w:val="0"/>
          <w:numId w:val="45"/>
        </w:numPr>
        <w:tabs>
          <w:tab w:val="num" w:pos="880"/>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the reinsuring members are authorised by the reinsured members to collect on behalf of the reinsured members the proceeds of all such rights and retain them for their own benefit so far as they are not applied in discharge of the liabilities of the reinsured members;</w:t>
      </w:r>
    </w:p>
    <w:p w14:paraId="67716E7E" w14:textId="77777777" w:rsidR="00491E54" w:rsidRPr="00491E54" w:rsidRDefault="00491E54" w:rsidP="00491E54">
      <w:pPr>
        <w:tabs>
          <w:tab w:val="right" w:pos="5897"/>
        </w:tabs>
        <w:spacing w:after="120" w:line="240" w:lineRule="atLeast"/>
        <w:ind w:left="2330" w:hanging="720"/>
        <w:rPr>
          <w:rFonts w:ascii="Arial" w:hAnsi="Arial"/>
          <w:bCs/>
          <w:sz w:val="18"/>
          <w:szCs w:val="18"/>
        </w:rPr>
      </w:pPr>
    </w:p>
    <w:p w14:paraId="05A8CF4A" w14:textId="12AA4A19" w:rsidR="00491E54" w:rsidRPr="00CF08B3" w:rsidRDefault="00491E54" w:rsidP="00ED01A5">
      <w:pPr>
        <w:pStyle w:val="ListParagraph"/>
        <w:numPr>
          <w:ilvl w:val="0"/>
          <w:numId w:val="44"/>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the reinsuring members are required and fully, irrevocably and exclusively authorised on behalf of the reinsured members to conduct the underwriting business, and authorised to sub-delegate that authority to the reinsuring members’ managing agent and to any person underwriting any RITC of the reinsuring members and to permit the further sub-delegation of the whole or part of that authority in either case; and</w:t>
      </w:r>
    </w:p>
    <w:p w14:paraId="3824F27F" w14:textId="77777777" w:rsidR="00491E54" w:rsidRPr="00491E54" w:rsidRDefault="00491E54" w:rsidP="00491E54">
      <w:pPr>
        <w:tabs>
          <w:tab w:val="num" w:pos="1525"/>
          <w:tab w:val="right" w:pos="9582"/>
        </w:tabs>
        <w:spacing w:line="240" w:lineRule="atLeast"/>
        <w:ind w:left="255"/>
        <w:rPr>
          <w:rFonts w:ascii="Arial" w:hAnsi="Arial"/>
          <w:sz w:val="18"/>
          <w:szCs w:val="18"/>
        </w:rPr>
      </w:pPr>
    </w:p>
    <w:p w14:paraId="7C77B6D8" w14:textId="45AE57D4" w:rsidR="00491E54" w:rsidRPr="00CF08B3" w:rsidRDefault="00491E54" w:rsidP="00ED01A5">
      <w:pPr>
        <w:pStyle w:val="ListParagraph"/>
        <w:numPr>
          <w:ilvl w:val="0"/>
          <w:numId w:val="44"/>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the contract shall not be cancelled or avoided for any reason, including mistake, non-disclosure or misrepresentation (whether innocent or not).</w:t>
      </w:r>
    </w:p>
    <w:p w14:paraId="17AE6BF7" w14:textId="77777777" w:rsidR="00491E54" w:rsidRPr="00491E54" w:rsidRDefault="00491E54" w:rsidP="00491E54">
      <w:pPr>
        <w:tabs>
          <w:tab w:val="num" w:pos="426"/>
          <w:tab w:val="right" w:pos="5897"/>
        </w:tabs>
        <w:spacing w:line="240" w:lineRule="atLeast"/>
        <w:rPr>
          <w:rFonts w:ascii="Arial" w:hAnsi="Arial"/>
          <w:sz w:val="18"/>
          <w:szCs w:val="18"/>
        </w:rPr>
      </w:pPr>
    </w:p>
    <w:p w14:paraId="1970A100" w14:textId="77777777" w:rsidR="00491E54" w:rsidRPr="00491E54" w:rsidRDefault="00491E54" w:rsidP="00491E54">
      <w:pPr>
        <w:keepNext/>
        <w:tabs>
          <w:tab w:val="right" w:pos="5897"/>
        </w:tabs>
        <w:spacing w:line="240" w:lineRule="atLeast"/>
        <w:rPr>
          <w:rFonts w:ascii="Arial" w:hAnsi="Arial"/>
          <w:color w:val="1E35BF"/>
          <w:sz w:val="18"/>
          <w:szCs w:val="18"/>
        </w:rPr>
      </w:pPr>
      <w:r w:rsidRPr="00491E54">
        <w:rPr>
          <w:rFonts w:ascii="Arial" w:hAnsi="Arial"/>
          <w:b/>
          <w:color w:val="1E35BF"/>
          <w:sz w:val="22"/>
          <w:szCs w:val="22"/>
        </w:rPr>
        <w:t>Multi-reinsurer contracts</w:t>
      </w:r>
    </w:p>
    <w:p w14:paraId="10DD2E4E" w14:textId="77777777" w:rsidR="00491E54" w:rsidRPr="00491E54" w:rsidRDefault="00491E54" w:rsidP="00491E54">
      <w:pPr>
        <w:keepNext/>
        <w:tabs>
          <w:tab w:val="right" w:pos="5897"/>
        </w:tabs>
        <w:spacing w:line="240" w:lineRule="atLeast"/>
        <w:ind w:left="720" w:hanging="720"/>
        <w:rPr>
          <w:rFonts w:ascii="Arial" w:hAnsi="Arial"/>
          <w:b/>
          <w:sz w:val="22"/>
          <w:szCs w:val="22"/>
        </w:rPr>
      </w:pPr>
    </w:p>
    <w:p w14:paraId="10462DBF"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No contract of RITC may be underwritten by more than one syndicate except:</w:t>
      </w:r>
    </w:p>
    <w:p w14:paraId="6F55AFD5" w14:textId="3BCFC2C0" w:rsidR="00491E54" w:rsidRPr="00CF08B3" w:rsidRDefault="00491E54" w:rsidP="00ED01A5">
      <w:pPr>
        <w:pStyle w:val="ListParagraph"/>
        <w:numPr>
          <w:ilvl w:val="0"/>
          <w:numId w:val="46"/>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in the case of a contract where the reinsuring syndicates are parallel syndicates; or</w:t>
      </w:r>
    </w:p>
    <w:p w14:paraId="4547681A" w14:textId="7275EB14" w:rsidR="00491E54" w:rsidRPr="00CF08B3" w:rsidRDefault="00491E54" w:rsidP="00ED01A5">
      <w:pPr>
        <w:pStyle w:val="ListParagraph"/>
        <w:numPr>
          <w:ilvl w:val="0"/>
          <w:numId w:val="46"/>
        </w:numPr>
        <w:tabs>
          <w:tab w:val="num" w:pos="85"/>
          <w:tab w:val="num" w:pos="426"/>
          <w:tab w:val="num" w:pos="1525"/>
          <w:tab w:val="right" w:pos="5897"/>
          <w:tab w:val="right" w:pos="9582"/>
        </w:tabs>
        <w:spacing w:after="120" w:line="240" w:lineRule="atLeast"/>
        <w:rPr>
          <w:rFonts w:ascii="Arial" w:hAnsi="Arial"/>
          <w:sz w:val="18"/>
          <w:szCs w:val="18"/>
        </w:rPr>
      </w:pPr>
      <w:r w:rsidRPr="00CF08B3">
        <w:rPr>
          <w:rFonts w:ascii="Arial" w:hAnsi="Arial"/>
          <w:sz w:val="18"/>
          <w:szCs w:val="18"/>
        </w:rPr>
        <w:t>where Lloyd’s is satisfied that it is not practicable for the contract to be underwritten by a single syndicate only and that the contract should be permitted to be underwritten by more than one syndicate and grants its consent.</w:t>
      </w:r>
    </w:p>
    <w:p w14:paraId="5F7192AC" w14:textId="77777777" w:rsidR="00491E54" w:rsidRPr="00491E54" w:rsidRDefault="00491E54" w:rsidP="00491E54">
      <w:pPr>
        <w:tabs>
          <w:tab w:val="num" w:pos="1525"/>
          <w:tab w:val="right" w:pos="9582"/>
        </w:tabs>
        <w:spacing w:line="240" w:lineRule="atLeast"/>
        <w:ind w:left="255"/>
        <w:rPr>
          <w:rFonts w:ascii="Arial" w:hAnsi="Arial"/>
          <w:sz w:val="18"/>
          <w:szCs w:val="18"/>
        </w:rPr>
      </w:pPr>
    </w:p>
    <w:p w14:paraId="2314B989" w14:textId="33ECA28F" w:rsidR="00491E54" w:rsidRPr="00491E54" w:rsidDel="008F15EE" w:rsidRDefault="00491E54" w:rsidP="00491E54">
      <w:pPr>
        <w:tabs>
          <w:tab w:val="right" w:pos="5897"/>
        </w:tabs>
        <w:spacing w:after="240" w:line="240" w:lineRule="atLeast"/>
        <w:rPr>
          <w:rFonts w:ascii="Arial" w:hAnsi="Arial"/>
          <w:sz w:val="18"/>
          <w:szCs w:val="18"/>
        </w:rPr>
      </w:pPr>
      <w:r w:rsidRPr="5FA4B29E">
        <w:rPr>
          <w:rFonts w:ascii="Arial" w:hAnsi="Arial"/>
          <w:sz w:val="18"/>
          <w:szCs w:val="18"/>
        </w:rPr>
        <w:t>Consent granted under paragraph 2 may be subject to such conditions as Lloyd’s thinks fit.</w:t>
      </w:r>
      <w:r w:rsidR="00722D30" w:rsidRPr="5FA4B29E">
        <w:rPr>
          <w:rFonts w:ascii="Arial" w:hAnsi="Arial"/>
          <w:sz w:val="18"/>
          <w:szCs w:val="18"/>
        </w:rPr>
        <w:t xml:space="preserve"> </w:t>
      </w:r>
      <w:r w:rsidRPr="5FA4B29E">
        <w:rPr>
          <w:rFonts w:ascii="Arial" w:hAnsi="Arial"/>
          <w:sz w:val="18"/>
          <w:szCs w:val="18"/>
        </w:rPr>
        <w:t xml:space="preserve"> </w:t>
      </w:r>
    </w:p>
    <w:p w14:paraId="6D1E8992" w14:textId="35EFA2B0" w:rsidR="00491E54" w:rsidRDefault="00491E54" w:rsidP="008F15EE">
      <w:pPr>
        <w:tabs>
          <w:tab w:val="right" w:pos="5897"/>
        </w:tabs>
        <w:spacing w:after="240" w:line="240" w:lineRule="atLeast"/>
        <w:rPr>
          <w:rFonts w:ascii="Arial" w:hAnsi="Arial"/>
          <w:sz w:val="18"/>
          <w:szCs w:val="18"/>
        </w:rPr>
      </w:pPr>
      <w:r w:rsidRPr="00491E54" w:rsidDel="008F15EE">
        <w:rPr>
          <w:rFonts w:ascii="Arial" w:hAnsi="Arial"/>
          <w:sz w:val="18"/>
          <w:szCs w:val="18"/>
        </w:rPr>
        <w:t xml:space="preserve">Managing agents should also note that in view of the PRA Rulebook definition of ‘approved reinsurance to close’, contracts of RITC to be underwritten by more than one syndicate may additionally require the application to the PRA for a modification of </w:t>
      </w:r>
      <w:r w:rsidRPr="00491E54">
        <w:rPr>
          <w:rFonts w:ascii="Arial" w:hAnsi="Arial"/>
          <w:sz w:val="18"/>
          <w:szCs w:val="18"/>
        </w:rPr>
        <w:t>SII Firms</w:t>
      </w:r>
      <w:r w:rsidRPr="00491E54" w:rsidDel="00195E04">
        <w:rPr>
          <w:rFonts w:ascii="Arial" w:hAnsi="Arial"/>
          <w:sz w:val="18"/>
          <w:szCs w:val="18"/>
        </w:rPr>
        <w:t xml:space="preserve"> – </w:t>
      </w:r>
      <w:r w:rsidRPr="00491E54">
        <w:rPr>
          <w:rFonts w:ascii="Arial" w:hAnsi="Arial"/>
          <w:sz w:val="18"/>
          <w:szCs w:val="18"/>
        </w:rPr>
        <w:t>Lloyds</w:t>
      </w:r>
      <w:r w:rsidRPr="00491E54" w:rsidDel="00BF034D">
        <w:rPr>
          <w:rFonts w:ascii="Arial" w:hAnsi="Arial"/>
          <w:sz w:val="18"/>
          <w:szCs w:val="18"/>
        </w:rPr>
        <w:t xml:space="preserve"> </w:t>
      </w:r>
      <w:r w:rsidRPr="00491E54">
        <w:rPr>
          <w:rFonts w:ascii="Arial" w:hAnsi="Arial"/>
          <w:sz w:val="18"/>
          <w:szCs w:val="18"/>
        </w:rPr>
        <w:t>Approved Reinsurance to Close</w:t>
      </w:r>
      <w:r w:rsidRPr="00491E54" w:rsidDel="001148E2">
        <w:rPr>
          <w:rFonts w:ascii="Arial" w:hAnsi="Arial"/>
          <w:sz w:val="18"/>
          <w:szCs w:val="18"/>
        </w:rPr>
        <w:t xml:space="preserve"> – Rule 3.1</w:t>
      </w:r>
    </w:p>
    <w:p w14:paraId="5B48DBE7" w14:textId="1AC8703F" w:rsidR="00A00EDE" w:rsidRPr="00EB400A" w:rsidRDefault="009F54D1" w:rsidP="008F15EE">
      <w:pPr>
        <w:tabs>
          <w:tab w:val="right" w:pos="5897"/>
        </w:tabs>
        <w:spacing w:after="240" w:line="240" w:lineRule="atLeast"/>
        <w:rPr>
          <w:rFonts w:ascii="Arial" w:hAnsi="Arial"/>
          <w:color w:val="002060"/>
          <w:sz w:val="18"/>
          <w:szCs w:val="18"/>
        </w:rPr>
      </w:pPr>
      <w:r w:rsidRPr="00EB400A">
        <w:rPr>
          <w:rFonts w:ascii="Arial" w:hAnsi="Arial"/>
          <w:color w:val="002060"/>
          <w:sz w:val="18"/>
          <w:szCs w:val="18"/>
        </w:rPr>
        <w:t xml:space="preserve">Full guidance on </w:t>
      </w:r>
      <w:r w:rsidR="00957F84" w:rsidRPr="00EB400A">
        <w:rPr>
          <w:rFonts w:ascii="Arial" w:hAnsi="Arial"/>
          <w:color w:val="002060"/>
          <w:sz w:val="18"/>
          <w:szCs w:val="18"/>
        </w:rPr>
        <w:t>multi-re</w:t>
      </w:r>
      <w:r w:rsidR="007C0A2D" w:rsidRPr="00EB400A">
        <w:rPr>
          <w:rFonts w:ascii="Arial" w:hAnsi="Arial"/>
          <w:color w:val="002060"/>
          <w:sz w:val="18"/>
          <w:szCs w:val="18"/>
        </w:rPr>
        <w:t>insurer RITC</w:t>
      </w:r>
      <w:r w:rsidR="009E07F0" w:rsidRPr="00EB400A">
        <w:rPr>
          <w:rFonts w:ascii="Arial" w:hAnsi="Arial"/>
          <w:color w:val="002060"/>
          <w:sz w:val="18"/>
          <w:szCs w:val="18"/>
        </w:rPr>
        <w:t xml:space="preserve">; </w:t>
      </w:r>
      <w:r w:rsidR="00D74ABA" w:rsidRPr="00EB400A">
        <w:rPr>
          <w:rFonts w:ascii="Arial" w:hAnsi="Arial"/>
          <w:color w:val="002060"/>
          <w:sz w:val="18"/>
          <w:szCs w:val="18"/>
        </w:rPr>
        <w:t>o</w:t>
      </w:r>
      <w:r w:rsidR="009E07F0" w:rsidRPr="00EB400A">
        <w:rPr>
          <w:rFonts w:ascii="Arial" w:hAnsi="Arial"/>
          <w:color w:val="002060"/>
          <w:sz w:val="18"/>
          <w:szCs w:val="18"/>
        </w:rPr>
        <w:t xml:space="preserve">r </w:t>
      </w:r>
      <w:r w:rsidR="00D74ABA" w:rsidRPr="00EB400A">
        <w:rPr>
          <w:rFonts w:ascii="Arial" w:hAnsi="Arial"/>
          <w:color w:val="002060"/>
          <w:sz w:val="18"/>
          <w:szCs w:val="18"/>
        </w:rPr>
        <w:t>split RITC as it is commonly referred t</w:t>
      </w:r>
      <w:r w:rsidR="009E07F0" w:rsidRPr="00EB400A">
        <w:rPr>
          <w:rFonts w:ascii="Arial" w:hAnsi="Arial"/>
          <w:color w:val="002060"/>
          <w:sz w:val="18"/>
          <w:szCs w:val="18"/>
        </w:rPr>
        <w:t>o</w:t>
      </w:r>
      <w:r w:rsidR="004320CF" w:rsidRPr="00EB400A">
        <w:rPr>
          <w:rFonts w:ascii="Arial" w:hAnsi="Arial"/>
          <w:color w:val="002060"/>
          <w:sz w:val="18"/>
          <w:szCs w:val="18"/>
        </w:rPr>
        <w:t xml:space="preserve">; can be found </w:t>
      </w:r>
      <w:r w:rsidR="00453AF6" w:rsidRPr="00EB400A">
        <w:rPr>
          <w:rFonts w:ascii="Arial" w:hAnsi="Arial"/>
          <w:color w:val="002060"/>
          <w:sz w:val="18"/>
          <w:szCs w:val="18"/>
        </w:rPr>
        <w:t xml:space="preserve">in the Legacy Reinsurance section of </w:t>
      </w:r>
      <w:r w:rsidR="00A23939" w:rsidRPr="00EB400A">
        <w:rPr>
          <w:rFonts w:ascii="Arial" w:hAnsi="Arial"/>
          <w:color w:val="002060"/>
          <w:sz w:val="18"/>
          <w:szCs w:val="18"/>
        </w:rPr>
        <w:t>Lloyds.com (</w:t>
      </w:r>
      <w:hyperlink r:id="rId17" w:history="1">
        <w:r w:rsidR="00367738" w:rsidRPr="00EB400A">
          <w:rPr>
            <w:rStyle w:val="Hyperlink"/>
            <w:rFonts w:ascii="Arial" w:hAnsi="Arial"/>
            <w:color w:val="002060"/>
            <w:sz w:val="18"/>
            <w:szCs w:val="18"/>
          </w:rPr>
          <w:t>https://www.lloyds.com/market-resources/legacy-reinsurance</w:t>
        </w:r>
      </w:hyperlink>
      <w:r w:rsidR="00367738" w:rsidRPr="00EB400A">
        <w:rPr>
          <w:rFonts w:ascii="Arial" w:hAnsi="Arial"/>
          <w:color w:val="002060"/>
          <w:sz w:val="18"/>
          <w:szCs w:val="18"/>
        </w:rPr>
        <w:t xml:space="preserve">) </w:t>
      </w:r>
    </w:p>
    <w:p w14:paraId="479086D9" w14:textId="77777777" w:rsidR="00491E54" w:rsidRPr="00491E54" w:rsidRDefault="00491E54" w:rsidP="00491E54">
      <w:pPr>
        <w:keepNext/>
        <w:tabs>
          <w:tab w:val="right" w:pos="5897"/>
        </w:tabs>
        <w:spacing w:line="240" w:lineRule="atLeast"/>
        <w:rPr>
          <w:rFonts w:ascii="Arial" w:hAnsi="Arial"/>
          <w:b/>
          <w:color w:val="1E35BF"/>
          <w:sz w:val="22"/>
          <w:szCs w:val="22"/>
        </w:rPr>
      </w:pPr>
      <w:r w:rsidRPr="00491E54">
        <w:rPr>
          <w:rFonts w:ascii="Arial" w:hAnsi="Arial"/>
          <w:b/>
          <w:color w:val="1E35BF"/>
          <w:sz w:val="22"/>
          <w:szCs w:val="22"/>
        </w:rPr>
        <w:t>Partial reinsurance</w:t>
      </w:r>
    </w:p>
    <w:p w14:paraId="0E920063" w14:textId="77777777" w:rsidR="00491E54" w:rsidRPr="00491E54" w:rsidRDefault="00491E54" w:rsidP="00491E54">
      <w:pPr>
        <w:keepNext/>
        <w:tabs>
          <w:tab w:val="right" w:pos="5897"/>
        </w:tabs>
        <w:spacing w:line="240" w:lineRule="atLeast"/>
        <w:ind w:left="720" w:hanging="720"/>
        <w:rPr>
          <w:rFonts w:ascii="Arial" w:hAnsi="Arial"/>
          <w:b/>
          <w:sz w:val="18"/>
          <w:szCs w:val="18"/>
        </w:rPr>
      </w:pPr>
    </w:p>
    <w:p w14:paraId="1225895E"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Partial RITC involves leaving a year of account open but paying forward a premium to the following year of account by way of reinsurance in respect of that part of the account which the managing agent considers to be readily quantifiable.  Partial RITC is not permitted.</w:t>
      </w:r>
    </w:p>
    <w:p w14:paraId="4513A5DA" w14:textId="77777777" w:rsidR="00491E54" w:rsidRPr="00491E54" w:rsidRDefault="00491E54" w:rsidP="00491E54">
      <w:pPr>
        <w:keepNext/>
        <w:tabs>
          <w:tab w:val="right" w:pos="5897"/>
        </w:tabs>
        <w:spacing w:line="240" w:lineRule="atLeast"/>
        <w:rPr>
          <w:rFonts w:ascii="Arial" w:hAnsi="Arial"/>
          <w:b/>
          <w:color w:val="1E35BF"/>
          <w:sz w:val="22"/>
          <w:szCs w:val="22"/>
        </w:rPr>
      </w:pPr>
      <w:r w:rsidRPr="00491E54">
        <w:rPr>
          <w:rFonts w:ascii="Arial" w:hAnsi="Arial"/>
          <w:b/>
          <w:color w:val="1E35BF"/>
          <w:sz w:val="22"/>
          <w:szCs w:val="22"/>
        </w:rPr>
        <w:t>Prohibition of certain exclusion clauses</w:t>
      </w:r>
    </w:p>
    <w:p w14:paraId="1DCE79B5" w14:textId="77777777" w:rsidR="00491E54" w:rsidRPr="00491E54" w:rsidRDefault="00491E54" w:rsidP="00491E54">
      <w:pPr>
        <w:keepNext/>
        <w:tabs>
          <w:tab w:val="right" w:pos="5897"/>
        </w:tabs>
        <w:spacing w:line="240" w:lineRule="atLeast"/>
        <w:ind w:left="720" w:hanging="720"/>
        <w:rPr>
          <w:rFonts w:ascii="Arial" w:hAnsi="Arial"/>
          <w:b/>
          <w:sz w:val="18"/>
          <w:szCs w:val="18"/>
        </w:rPr>
      </w:pPr>
    </w:p>
    <w:p w14:paraId="151FE29B"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Where the RITC is to be provided by a syndicate other than a later year of account of the same syndicate (“third party RITC”), potential RITC providers have to inspect accounts and records of the closing syndicate and to ask questions of its managing agent to enable themselves to assess and quote an appropriate premium for the RITC.  RITC providers therefore need to be able to rely on what is said to them by managing agents in reply to questions, particularly so where the normal duty of disclosure and the remedy of avoidance for non-disclosure do not apply.  Moreover, RITC providers need to be able to rely on replies to such questions without having to load the RITC premium, at the expense of the members of the closing syndicate, to cover the risk of any negligent misrepresentation or misstatement by the closing syndicate’s managing agent.  </w:t>
      </w:r>
    </w:p>
    <w:p w14:paraId="03452396"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The managing agent of the closing syndicate is not permitted to exclude its duty to its members not to make negligent misrepresentations which might result in the avoidance of reinsurances placed on their behalf.  No more so should it be permitted to exclude any reliance by a RITC provider on the managing agent’s replies to questions or to exclude any duty of care to the potential RITC provider in replying to questions or any remedy in damages for breach of that duty. </w:t>
      </w:r>
    </w:p>
    <w:p w14:paraId="0E72EBB7" w14:textId="77777777" w:rsidR="00491E54" w:rsidRPr="00491E54" w:rsidRDefault="00491E54" w:rsidP="00491E54">
      <w:pPr>
        <w:keepNext/>
        <w:tabs>
          <w:tab w:val="right" w:pos="5897"/>
        </w:tabs>
        <w:spacing w:after="240" w:line="240" w:lineRule="atLeast"/>
        <w:rPr>
          <w:rFonts w:ascii="Arial" w:hAnsi="Arial"/>
          <w:sz w:val="18"/>
          <w:szCs w:val="18"/>
        </w:rPr>
      </w:pPr>
      <w:r w:rsidRPr="00491E54">
        <w:rPr>
          <w:rFonts w:ascii="Arial" w:hAnsi="Arial"/>
          <w:sz w:val="18"/>
          <w:szCs w:val="18"/>
        </w:rPr>
        <w:lastRenderedPageBreak/>
        <w:t>Accordingly, RITC contract wordings shal</w:t>
      </w:r>
      <w:r w:rsidRPr="00491E54">
        <w:rPr>
          <w:rFonts w:ascii="Arial" w:hAnsi="Arial"/>
          <w:sz w:val="22"/>
          <w:szCs w:val="22"/>
        </w:rPr>
        <w:t xml:space="preserve">l </w:t>
      </w:r>
      <w:r w:rsidRPr="00491E54">
        <w:rPr>
          <w:rFonts w:ascii="Arial" w:hAnsi="Arial"/>
          <w:sz w:val="18"/>
          <w:szCs w:val="18"/>
        </w:rPr>
        <w:t>not include clauses</w:t>
      </w:r>
      <w:r w:rsidRPr="00491E54">
        <w:rPr>
          <w:rFonts w:ascii="Arial" w:hAnsi="Arial"/>
          <w:sz w:val="22"/>
          <w:szCs w:val="22"/>
        </w:rPr>
        <w:t xml:space="preserve"> </w:t>
      </w:r>
      <w:r w:rsidRPr="00491E54">
        <w:rPr>
          <w:rFonts w:ascii="Arial" w:hAnsi="Arial"/>
          <w:sz w:val="18"/>
          <w:szCs w:val="18"/>
        </w:rPr>
        <w:t>which:</w:t>
      </w:r>
    </w:p>
    <w:p w14:paraId="69C98420" w14:textId="1F1A8B93" w:rsidR="00491E54" w:rsidRPr="009D03F7" w:rsidRDefault="00491E54" w:rsidP="007533D0">
      <w:pPr>
        <w:pStyle w:val="ListParagraph"/>
        <w:numPr>
          <w:ilvl w:val="0"/>
          <w:numId w:val="47"/>
        </w:numPr>
        <w:tabs>
          <w:tab w:val="num" w:pos="85"/>
          <w:tab w:val="num" w:pos="426"/>
          <w:tab w:val="right" w:pos="5897"/>
          <w:tab w:val="right" w:pos="9582"/>
        </w:tabs>
        <w:spacing w:after="240" w:line="240" w:lineRule="atLeast"/>
        <w:rPr>
          <w:rFonts w:ascii="Arial" w:hAnsi="Arial"/>
          <w:sz w:val="18"/>
          <w:szCs w:val="18"/>
        </w:rPr>
      </w:pPr>
      <w:r w:rsidRPr="009D03F7">
        <w:rPr>
          <w:rFonts w:ascii="Arial" w:hAnsi="Arial"/>
          <w:sz w:val="18"/>
          <w:szCs w:val="18"/>
        </w:rPr>
        <w:t xml:space="preserve">exclude any reliance by the reinsurer on anything said by the managing agent of the closing syndicate in relation to the contract; or </w:t>
      </w:r>
    </w:p>
    <w:p w14:paraId="72DEBCC1" w14:textId="570ACBC9" w:rsidR="00491E54" w:rsidRPr="009D03F7" w:rsidRDefault="00491E54" w:rsidP="007533D0">
      <w:pPr>
        <w:pStyle w:val="ListParagraph"/>
        <w:numPr>
          <w:ilvl w:val="0"/>
          <w:numId w:val="47"/>
        </w:numPr>
        <w:tabs>
          <w:tab w:val="num" w:pos="85"/>
          <w:tab w:val="num" w:pos="426"/>
          <w:tab w:val="right" w:pos="5897"/>
          <w:tab w:val="right" w:pos="9582"/>
        </w:tabs>
        <w:spacing w:after="240" w:line="240" w:lineRule="atLeast"/>
        <w:rPr>
          <w:rFonts w:ascii="Arial" w:hAnsi="Arial"/>
          <w:sz w:val="18"/>
          <w:szCs w:val="18"/>
        </w:rPr>
      </w:pPr>
      <w:r w:rsidRPr="009D03F7">
        <w:rPr>
          <w:rFonts w:ascii="Arial" w:hAnsi="Arial"/>
          <w:sz w:val="18"/>
          <w:szCs w:val="18"/>
        </w:rPr>
        <w:t>exclude any liability on the part of the managing agent of the closing syndicate for any negligent misrepresentation or misstatement made by the managing agent in relation to the contract.</w:t>
      </w:r>
    </w:p>
    <w:p w14:paraId="143DB8E3" w14:textId="31CE7EA6" w:rsidR="00491E54" w:rsidRPr="00491E54" w:rsidRDefault="00491E54" w:rsidP="009D03F7">
      <w:pPr>
        <w:tabs>
          <w:tab w:val="right" w:pos="5897"/>
        </w:tabs>
        <w:spacing w:after="240" w:line="240" w:lineRule="atLeast"/>
        <w:rPr>
          <w:rFonts w:ascii="Arial" w:hAnsi="Arial"/>
          <w:sz w:val="18"/>
          <w:szCs w:val="18"/>
        </w:rPr>
      </w:pPr>
      <w:r w:rsidRPr="00491E54">
        <w:rPr>
          <w:rFonts w:ascii="Arial" w:hAnsi="Arial"/>
          <w:sz w:val="18"/>
          <w:szCs w:val="18"/>
        </w:rPr>
        <w:t>Nothing in this part is intended to alter the requirement set out above that all RITC contracts should include an express term to the effect that the contract shall not be cancelled or avoided for any reason, including mistake, non-disclosure or misrepresentation (whether innocent or not).</w:t>
      </w:r>
    </w:p>
    <w:p w14:paraId="1EEAA24D" w14:textId="77777777" w:rsidR="00491E54" w:rsidRPr="00491E54" w:rsidRDefault="00491E54" w:rsidP="001A55A3">
      <w:pPr>
        <w:pStyle w:val="Heading3"/>
      </w:pPr>
      <w:bookmarkStart w:id="19" w:name="_Toc236925687"/>
      <w:r w:rsidRPr="00491E54">
        <w:t>Special Termination/Downgrade and Funding Clauses</w:t>
      </w:r>
      <w:bookmarkEnd w:id="19"/>
    </w:p>
    <w:p w14:paraId="2A61228A" w14:textId="77777777" w:rsidR="00491E54" w:rsidRPr="00491E54" w:rsidRDefault="00491E54" w:rsidP="00491E54">
      <w:pPr>
        <w:keepNext/>
        <w:tabs>
          <w:tab w:val="right" w:pos="5897"/>
        </w:tabs>
        <w:spacing w:after="120" w:line="240" w:lineRule="atLeast"/>
        <w:rPr>
          <w:rFonts w:ascii="Arial" w:hAnsi="Arial"/>
          <w:sz w:val="18"/>
        </w:rPr>
      </w:pPr>
    </w:p>
    <w:p w14:paraId="6B76D54E"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It is recommended that managing agents should have a clear policy on what, if any, downgrade clauses and their component parts are acceptable to them. </w:t>
      </w:r>
    </w:p>
    <w:p w14:paraId="48E214FC"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When considering what downgrade clauses might be acceptable, managing agents should consider and assess the potential risks to their members and Lloyd’s as a whole which may arise as a result of their use. </w:t>
      </w:r>
    </w:p>
    <w:p w14:paraId="244BE6EF"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As a minimum, any policy should provide that, as a rule, the managing agent:</w:t>
      </w:r>
    </w:p>
    <w:p w14:paraId="0EE71B12" w14:textId="77777777" w:rsidR="00491E54" w:rsidRPr="009D03F7" w:rsidRDefault="00491E54" w:rsidP="00ED01A5">
      <w:pPr>
        <w:pStyle w:val="ListParagraph"/>
        <w:numPr>
          <w:ilvl w:val="0"/>
          <w:numId w:val="48"/>
        </w:numPr>
        <w:tabs>
          <w:tab w:val="num" w:pos="426"/>
          <w:tab w:val="right" w:pos="9582"/>
        </w:tabs>
        <w:spacing w:line="240" w:lineRule="atLeast"/>
        <w:rPr>
          <w:rFonts w:ascii="Arial" w:hAnsi="Arial"/>
          <w:sz w:val="18"/>
          <w:szCs w:val="18"/>
        </w:rPr>
      </w:pPr>
      <w:r w:rsidRPr="009D03F7">
        <w:rPr>
          <w:rFonts w:ascii="Arial" w:hAnsi="Arial"/>
          <w:sz w:val="18"/>
          <w:szCs w:val="18"/>
        </w:rPr>
        <w:t>Will not accept provisions in clauses that, when triggered, require that the syndicate provides collateral for liabilities. It should of course be noted that in a number of territories Lloyd's syndicates already have in place funding or collateralisation arrangements, including through Lloyd's trust funds, to meet local regulations;</w:t>
      </w:r>
    </w:p>
    <w:p w14:paraId="53063683" w14:textId="77777777" w:rsidR="00491E54" w:rsidRPr="009D03F7" w:rsidRDefault="00491E54" w:rsidP="00ED01A5">
      <w:pPr>
        <w:pStyle w:val="ListParagraph"/>
        <w:numPr>
          <w:ilvl w:val="0"/>
          <w:numId w:val="48"/>
        </w:numPr>
        <w:tabs>
          <w:tab w:val="num" w:pos="426"/>
          <w:tab w:val="right" w:pos="9582"/>
        </w:tabs>
        <w:spacing w:line="240" w:lineRule="atLeast"/>
        <w:rPr>
          <w:rFonts w:ascii="Arial" w:hAnsi="Arial"/>
          <w:sz w:val="18"/>
          <w:szCs w:val="18"/>
        </w:rPr>
      </w:pPr>
      <w:r w:rsidRPr="009D03F7">
        <w:rPr>
          <w:rFonts w:ascii="Arial" w:hAnsi="Arial"/>
          <w:sz w:val="18"/>
          <w:szCs w:val="18"/>
        </w:rPr>
        <w:t>Will not agree to provisions that lead to the returning of earned premium.  Premium will not always be deemed to be earned on a proportionate basis.  LMA 5140 is an example of a clause that may be used where premium is earned disproportionately, for example on seasonal catastrophe business.  Managing agents should also consider their policy on returning premium where a loss has been paid.</w:t>
      </w:r>
    </w:p>
    <w:p w14:paraId="3066298A" w14:textId="77777777" w:rsidR="00491E54" w:rsidRPr="009D03F7" w:rsidRDefault="00491E54" w:rsidP="00ED01A5">
      <w:pPr>
        <w:pStyle w:val="ListParagraph"/>
        <w:numPr>
          <w:ilvl w:val="0"/>
          <w:numId w:val="48"/>
        </w:numPr>
        <w:tabs>
          <w:tab w:val="num" w:pos="426"/>
          <w:tab w:val="right" w:pos="9582"/>
        </w:tabs>
        <w:spacing w:after="240" w:line="240" w:lineRule="atLeast"/>
        <w:rPr>
          <w:rFonts w:ascii="Arial" w:hAnsi="Arial"/>
          <w:sz w:val="18"/>
          <w:szCs w:val="18"/>
        </w:rPr>
      </w:pPr>
      <w:r w:rsidRPr="009D03F7">
        <w:rPr>
          <w:rFonts w:ascii="Arial" w:hAnsi="Arial"/>
          <w:sz w:val="18"/>
          <w:szCs w:val="18"/>
        </w:rPr>
        <w:t>Will only agree to clauses that have a minimum trigger that is considered appropriate by the managing agent.  One approach is to require that the clause is triggered only if the rating falls below a minimum rating (such as A-).</w:t>
      </w:r>
    </w:p>
    <w:p w14:paraId="5A5466D4"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Any downgrade clauses used on inwards business should be clear and contract certain. </w:t>
      </w:r>
    </w:p>
    <w:p w14:paraId="72F9A8BB"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Lloyd’s recognises that there will be cases where a managing agent will not be able to achieve its requirements for special termination/downgrade clauses. A record, however, should be kept of all exceptions.</w:t>
      </w:r>
    </w:p>
    <w:p w14:paraId="6ECB0657"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Managing agents are encouraged to develop more detailed policies as appropriate for their syndicates.  The above points Lloyd’s believes reflect an appropriate and prudent minimum requirement.</w:t>
      </w:r>
    </w:p>
    <w:p w14:paraId="7DBF33E8"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Managing agents may wish to consider using the LMA model downgrade clauses (LMA 5139 and LMA 5140). Where managing agents choose to use other clauses, they should give careful consideration to the operation of the clause selected to ensure that the prudential risk is properly managed and that, where relevant, it addresses the same issues as those addressed by LMA 5139 and LMA 5140. </w:t>
      </w:r>
    </w:p>
    <w:p w14:paraId="05518F09" w14:textId="3F6754C0" w:rsidR="00491E54" w:rsidRPr="00491E54" w:rsidRDefault="00491E54" w:rsidP="00ED01A5">
      <w:pPr>
        <w:tabs>
          <w:tab w:val="right" w:pos="5897"/>
        </w:tabs>
        <w:spacing w:after="240" w:line="240" w:lineRule="atLeast"/>
        <w:rPr>
          <w:rFonts w:ascii="Arial" w:hAnsi="Arial"/>
          <w:sz w:val="18"/>
          <w:szCs w:val="18"/>
        </w:rPr>
      </w:pPr>
      <w:r w:rsidRPr="00491E54">
        <w:rPr>
          <w:rFonts w:ascii="Arial" w:hAnsi="Arial"/>
          <w:sz w:val="18"/>
          <w:szCs w:val="18"/>
        </w:rPr>
        <w:t>The Lloyd’s Market Association has also produced additional information and guidance for its members on the use of these clauses.</w:t>
      </w:r>
    </w:p>
    <w:p w14:paraId="24E909DD" w14:textId="77777777" w:rsidR="00491E54" w:rsidRPr="00491E54" w:rsidRDefault="00491E54" w:rsidP="001A55A3">
      <w:pPr>
        <w:pStyle w:val="Heading3"/>
      </w:pPr>
      <w:bookmarkStart w:id="20" w:name="_Toc236925688"/>
      <w:r w:rsidRPr="00491E54">
        <w:t>General Insurance Contracts Involving Risks Relating to the Death of an Individual</w:t>
      </w:r>
      <w:bookmarkEnd w:id="20"/>
    </w:p>
    <w:p w14:paraId="1B2C229A" w14:textId="77777777" w:rsidR="00491E54" w:rsidRPr="00491E54" w:rsidRDefault="00491E54" w:rsidP="00491E54">
      <w:pPr>
        <w:keepNext/>
        <w:tabs>
          <w:tab w:val="right" w:pos="5897"/>
        </w:tabs>
        <w:spacing w:after="120" w:line="240" w:lineRule="atLeast"/>
        <w:rPr>
          <w:rFonts w:ascii="Arial" w:hAnsi="Arial"/>
          <w:sz w:val="18"/>
        </w:rPr>
      </w:pPr>
    </w:p>
    <w:p w14:paraId="07383415"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It is a UK regulatory requirement that managing agents must not permit both general insurance business and long term insurance business (which includes all life insurance) to be carried on together through any syndicate managed by them.  It is also a requirement that amounts received or receivable in respect of general insurance business and long term business must be carried to separate premium trust funds.</w:t>
      </w:r>
    </w:p>
    <w:p w14:paraId="1232BDB5"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lastRenderedPageBreak/>
        <w:t>A number of policies are written by general syndicates in the A&amp;H and contingency market where the contract, amongst other covers provided, may be triggered by the death of an individual (other than accidental death).  Typically, in conjunction with other causes of financial loss, these products provide an indemnity for a contractual loss suffered by the insured arising from the death of a named individual.  For example, a contingency policy may include cover for a concert promoter for the cost of cancelling an event as a result of the death of the performer.</w:t>
      </w:r>
    </w:p>
    <w:p w14:paraId="3FA48572"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The particular features of these policies mean that extra care must be taken to ensure that the risks written are appropriate for a general insurance syndicate.  </w:t>
      </w:r>
    </w:p>
    <w:p w14:paraId="25A04533"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To evidence compliance with the relevant PRA regulations, Lloyd’s anticipates that managing agent wishing to write this type of risk will ensure they have suitable legal advice confirming that the business may properly be written by a syndicate writing general insurance business.  In obtaining any legal opinion the managing agent should provide copies of its standard contract wordings for review.</w:t>
      </w:r>
    </w:p>
    <w:p w14:paraId="53BD49B1" w14:textId="29125310" w:rsidR="00491E54" w:rsidRPr="00491E54" w:rsidRDefault="00491E54" w:rsidP="00ED01A5">
      <w:pPr>
        <w:tabs>
          <w:tab w:val="right" w:pos="5897"/>
        </w:tabs>
        <w:spacing w:after="240" w:line="240" w:lineRule="atLeast"/>
        <w:rPr>
          <w:rFonts w:ascii="Arial" w:hAnsi="Arial"/>
          <w:sz w:val="18"/>
          <w:szCs w:val="18"/>
        </w:rPr>
      </w:pPr>
      <w:r w:rsidRPr="00491E54">
        <w:rPr>
          <w:rFonts w:ascii="Arial" w:hAnsi="Arial"/>
          <w:sz w:val="18"/>
          <w:szCs w:val="18"/>
        </w:rPr>
        <w:t>Where the risks are located in overseas territories which are the subject of local regulation, managing agents must additionally ensure compliance with the equivalent local regulatory requirements.</w:t>
      </w:r>
    </w:p>
    <w:p w14:paraId="1FC0F241" w14:textId="480710D9" w:rsidR="00491E54" w:rsidRPr="00491E54" w:rsidRDefault="00491E54" w:rsidP="001A55A3">
      <w:pPr>
        <w:pStyle w:val="Heading3"/>
      </w:pPr>
      <w:bookmarkStart w:id="21" w:name="_Toc236925689"/>
      <w:r w:rsidRPr="00491E54">
        <w:t>Market Reform Contracts</w:t>
      </w:r>
      <w:bookmarkEnd w:id="21"/>
    </w:p>
    <w:p w14:paraId="477416AA" w14:textId="2869F8CB" w:rsidR="00491E54" w:rsidRPr="00491E54" w:rsidRDefault="008D6D37" w:rsidP="00491E54">
      <w:pPr>
        <w:tabs>
          <w:tab w:val="right" w:pos="5897"/>
        </w:tabs>
        <w:spacing w:after="240" w:line="240" w:lineRule="atLeast"/>
        <w:rPr>
          <w:rFonts w:ascii="Arial" w:hAnsi="Arial"/>
          <w:sz w:val="18"/>
          <w:szCs w:val="18"/>
        </w:rPr>
      </w:pPr>
      <w:r>
        <w:rPr>
          <w:rFonts w:ascii="Arial" w:hAnsi="Arial"/>
          <w:strike/>
          <w:sz w:val="18"/>
        </w:rPr>
        <w:br/>
      </w:r>
      <w:r w:rsidR="00491E54" w:rsidRPr="00491E54">
        <w:rPr>
          <w:rFonts w:ascii="Arial" w:hAnsi="Arial"/>
          <w:sz w:val="18"/>
          <w:szCs w:val="18"/>
        </w:rPr>
        <w:t>The Council has mandated through the Underwriting Requirements (paragraph 3A) that:</w:t>
      </w:r>
    </w:p>
    <w:p w14:paraId="4B96441C" w14:textId="7FE978D8" w:rsidR="00491E54" w:rsidRPr="009D03F7" w:rsidRDefault="00491E54" w:rsidP="007533D0">
      <w:pPr>
        <w:pStyle w:val="ListParagraph"/>
        <w:numPr>
          <w:ilvl w:val="0"/>
          <w:numId w:val="49"/>
        </w:numPr>
        <w:tabs>
          <w:tab w:val="num" w:pos="85"/>
          <w:tab w:val="num" w:pos="284"/>
          <w:tab w:val="num" w:pos="426"/>
          <w:tab w:val="right" w:pos="5897"/>
          <w:tab w:val="right" w:pos="9582"/>
        </w:tabs>
        <w:spacing w:after="240" w:line="240" w:lineRule="atLeast"/>
        <w:rPr>
          <w:rFonts w:ascii="Arial" w:hAnsi="Arial"/>
          <w:sz w:val="18"/>
          <w:szCs w:val="18"/>
        </w:rPr>
      </w:pPr>
      <w:r w:rsidRPr="009D03F7">
        <w:rPr>
          <w:rFonts w:ascii="Arial" w:hAnsi="Arial"/>
          <w:sz w:val="18"/>
          <w:szCs w:val="18"/>
        </w:rPr>
        <w:t>Managing agents shall not permit the syndicate stamp of a syndicate managed by it to be affixed to any slip which relates to a contract or contracts of insurance unless:</w:t>
      </w:r>
    </w:p>
    <w:p w14:paraId="45EA38BF" w14:textId="77777777" w:rsidR="009D03F7" w:rsidRDefault="00491E54" w:rsidP="007533D0">
      <w:pPr>
        <w:pStyle w:val="ListParagraph"/>
        <w:numPr>
          <w:ilvl w:val="0"/>
          <w:numId w:val="50"/>
        </w:numPr>
        <w:tabs>
          <w:tab w:val="num" w:pos="710"/>
          <w:tab w:val="num" w:pos="1525"/>
          <w:tab w:val="right" w:pos="5897"/>
          <w:tab w:val="right" w:pos="9582"/>
        </w:tabs>
        <w:spacing w:after="120" w:line="240" w:lineRule="atLeast"/>
        <w:rPr>
          <w:rFonts w:ascii="Arial" w:hAnsi="Arial"/>
          <w:sz w:val="18"/>
          <w:szCs w:val="18"/>
        </w:rPr>
      </w:pPr>
      <w:r w:rsidRPr="009D03F7">
        <w:rPr>
          <w:rFonts w:ascii="Arial" w:hAnsi="Arial"/>
          <w:sz w:val="18"/>
          <w:szCs w:val="18"/>
        </w:rPr>
        <w:t>the slip is in the form of the Market Reform Contract and the information contained in the slip has been properly completed in accordance with the relevant London Market Group guidance;</w:t>
      </w:r>
    </w:p>
    <w:p w14:paraId="0726B304" w14:textId="77777777" w:rsidR="009D03F7" w:rsidRDefault="00491E54" w:rsidP="007533D0">
      <w:pPr>
        <w:pStyle w:val="ListParagraph"/>
        <w:numPr>
          <w:ilvl w:val="0"/>
          <w:numId w:val="50"/>
        </w:numPr>
        <w:tabs>
          <w:tab w:val="num" w:pos="710"/>
          <w:tab w:val="num" w:pos="1525"/>
          <w:tab w:val="right" w:pos="5897"/>
          <w:tab w:val="right" w:pos="9582"/>
        </w:tabs>
        <w:spacing w:after="120" w:line="240" w:lineRule="atLeast"/>
        <w:rPr>
          <w:rFonts w:ascii="Arial" w:hAnsi="Arial"/>
          <w:sz w:val="18"/>
          <w:szCs w:val="18"/>
        </w:rPr>
      </w:pPr>
      <w:r w:rsidRPr="009D03F7">
        <w:rPr>
          <w:rFonts w:ascii="Arial" w:hAnsi="Arial"/>
          <w:sz w:val="18"/>
          <w:szCs w:val="18"/>
        </w:rPr>
        <w:t>the slip has been marked “MR Exempt – Client Requirement”; or</w:t>
      </w:r>
    </w:p>
    <w:p w14:paraId="5B4EF717" w14:textId="1FC296FA" w:rsidR="00491E54" w:rsidRPr="009D03F7" w:rsidRDefault="00491E54" w:rsidP="007533D0">
      <w:pPr>
        <w:pStyle w:val="ListParagraph"/>
        <w:numPr>
          <w:ilvl w:val="0"/>
          <w:numId w:val="50"/>
        </w:numPr>
        <w:tabs>
          <w:tab w:val="num" w:pos="710"/>
          <w:tab w:val="num" w:pos="1525"/>
          <w:tab w:val="right" w:pos="5897"/>
          <w:tab w:val="right" w:pos="9582"/>
        </w:tabs>
        <w:spacing w:after="120" w:line="240" w:lineRule="atLeast"/>
        <w:rPr>
          <w:rFonts w:ascii="Arial" w:hAnsi="Arial"/>
          <w:sz w:val="18"/>
          <w:szCs w:val="18"/>
        </w:rPr>
      </w:pPr>
      <w:r w:rsidRPr="009D03F7">
        <w:rPr>
          <w:rFonts w:ascii="Arial" w:hAnsi="Arial"/>
          <w:sz w:val="18"/>
          <w:szCs w:val="18"/>
        </w:rPr>
        <w:t xml:space="preserve">the slip relates to motor business, personal lines business or term life insurance business and the slip will not be processed by </w:t>
      </w:r>
      <w:proofErr w:type="spellStart"/>
      <w:r w:rsidRPr="009D03F7">
        <w:rPr>
          <w:rFonts w:ascii="Arial" w:hAnsi="Arial"/>
          <w:sz w:val="18"/>
          <w:szCs w:val="18"/>
        </w:rPr>
        <w:t>Velonetic</w:t>
      </w:r>
      <w:proofErr w:type="spellEnd"/>
      <w:r w:rsidRPr="009D03F7">
        <w:rPr>
          <w:rFonts w:ascii="Arial" w:hAnsi="Arial"/>
          <w:sz w:val="18"/>
          <w:szCs w:val="18"/>
        </w:rPr>
        <w:t>.</w:t>
      </w:r>
    </w:p>
    <w:p w14:paraId="7F6A0D2F" w14:textId="5733DE09" w:rsidR="00491E54" w:rsidRPr="00491E54" w:rsidRDefault="00491E54" w:rsidP="00491E54">
      <w:pPr>
        <w:tabs>
          <w:tab w:val="num" w:pos="1525"/>
          <w:tab w:val="right" w:pos="5897"/>
        </w:tabs>
        <w:spacing w:line="240" w:lineRule="atLeast"/>
        <w:rPr>
          <w:rFonts w:ascii="Arial" w:hAnsi="Arial"/>
          <w:sz w:val="18"/>
          <w:szCs w:val="18"/>
        </w:rPr>
      </w:pPr>
    </w:p>
    <w:p w14:paraId="2288D07E" w14:textId="7389C961" w:rsidR="00491E54" w:rsidRPr="009D03F7" w:rsidRDefault="00491E54" w:rsidP="007533D0">
      <w:pPr>
        <w:pStyle w:val="ListParagraph"/>
        <w:numPr>
          <w:ilvl w:val="0"/>
          <w:numId w:val="49"/>
        </w:numPr>
        <w:tabs>
          <w:tab w:val="num" w:pos="85"/>
          <w:tab w:val="num" w:pos="284"/>
          <w:tab w:val="num" w:pos="426"/>
          <w:tab w:val="right" w:pos="5897"/>
          <w:tab w:val="right" w:pos="9582"/>
        </w:tabs>
        <w:spacing w:after="240" w:line="240" w:lineRule="atLeast"/>
        <w:rPr>
          <w:rFonts w:ascii="Arial" w:hAnsi="Arial"/>
          <w:sz w:val="18"/>
          <w:szCs w:val="18"/>
        </w:rPr>
      </w:pPr>
      <w:r w:rsidRPr="009D03F7">
        <w:rPr>
          <w:rFonts w:ascii="Arial" w:hAnsi="Arial"/>
          <w:sz w:val="18"/>
          <w:szCs w:val="18"/>
        </w:rPr>
        <w:t>Managing agents shall not permit the syndicate stamp of a syndicate managed by it to be affixed to any slip which relates to a binding authority or to any line slip unless the slip has been completed in accordance with the relevant slip guidelines issued by the London Market Group.</w:t>
      </w:r>
    </w:p>
    <w:p w14:paraId="75B33488" w14:textId="707027FC" w:rsidR="00491E54" w:rsidRPr="009D03F7" w:rsidRDefault="00491E54" w:rsidP="007533D0">
      <w:pPr>
        <w:pStyle w:val="ListParagraph"/>
        <w:numPr>
          <w:ilvl w:val="0"/>
          <w:numId w:val="49"/>
        </w:numPr>
        <w:tabs>
          <w:tab w:val="num" w:pos="85"/>
          <w:tab w:val="num" w:pos="284"/>
          <w:tab w:val="num" w:pos="426"/>
          <w:tab w:val="right" w:pos="5897"/>
          <w:tab w:val="right" w:pos="9582"/>
        </w:tabs>
        <w:spacing w:after="240" w:line="240" w:lineRule="atLeast"/>
        <w:rPr>
          <w:rFonts w:ascii="Arial" w:hAnsi="Arial"/>
          <w:sz w:val="18"/>
          <w:szCs w:val="18"/>
        </w:rPr>
      </w:pPr>
      <w:r w:rsidRPr="009D03F7">
        <w:rPr>
          <w:rFonts w:ascii="Arial" w:hAnsi="Arial"/>
          <w:sz w:val="18"/>
          <w:szCs w:val="18"/>
        </w:rPr>
        <w:t xml:space="preserve">Managing agents can find details of the applicable guidelines and details of the Market Reform Contract on the London Market Group website: </w:t>
      </w:r>
      <w:hyperlink r:id="rId18" w:history="1">
        <w:r w:rsidRPr="009D03F7">
          <w:rPr>
            <w:rFonts w:ascii="Arial" w:hAnsi="Arial"/>
            <w:color w:val="0000FF"/>
            <w:sz w:val="18"/>
            <w:szCs w:val="18"/>
            <w:u w:val="single"/>
          </w:rPr>
          <w:t>www.lmg.london</w:t>
        </w:r>
      </w:hyperlink>
      <w:r w:rsidRPr="009D03F7">
        <w:rPr>
          <w:rFonts w:ascii="Arial" w:hAnsi="Arial"/>
          <w:sz w:val="18"/>
          <w:szCs w:val="18"/>
        </w:rPr>
        <w:t>.</w:t>
      </w:r>
    </w:p>
    <w:p w14:paraId="263613B5" w14:textId="77777777" w:rsidR="00491E54" w:rsidRPr="00491E54" w:rsidRDefault="00491E54" w:rsidP="00491E54">
      <w:pPr>
        <w:keepNext/>
        <w:tabs>
          <w:tab w:val="right" w:pos="5897"/>
        </w:tabs>
        <w:spacing w:after="240" w:line="240" w:lineRule="atLeast"/>
        <w:rPr>
          <w:rFonts w:ascii="Arial" w:hAnsi="Arial"/>
          <w:color w:val="1E35BF"/>
          <w:sz w:val="22"/>
          <w:szCs w:val="22"/>
        </w:rPr>
      </w:pPr>
      <w:r w:rsidRPr="00491E54">
        <w:rPr>
          <w:rFonts w:ascii="Arial" w:hAnsi="Arial"/>
          <w:b/>
          <w:color w:val="1E35BF"/>
          <w:sz w:val="22"/>
          <w:szCs w:val="22"/>
        </w:rPr>
        <w:t>Several Liability Clauses</w:t>
      </w:r>
    </w:p>
    <w:p w14:paraId="039EDF4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It is of the utmost importance that all insurance and reinsurance documentation issued for or on behalf of underwriters includes an appropriate several liability clause.  LMA 3333 in particular has been drafted for use by Lloyd’s underwriters and is suitable for use on all contracts.  </w:t>
      </w:r>
    </w:p>
    <w:p w14:paraId="00E73B39"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In the case of binding authority business Lloyd’s has issued guidance which permits the use of alternative several liability clauses for combined certificates or where the risk is written solely by Lloyd’s underwriters.  This guidance is set out in Market Bulletin Y4133.  </w:t>
      </w:r>
    </w:p>
    <w:p w14:paraId="03CE1E58" w14:textId="2831AC4B" w:rsidR="00C94E75" w:rsidRPr="00491E54" w:rsidRDefault="00491E54" w:rsidP="00C63908">
      <w:pPr>
        <w:tabs>
          <w:tab w:val="right" w:pos="5897"/>
        </w:tabs>
        <w:spacing w:after="240" w:line="240" w:lineRule="atLeast"/>
        <w:rPr>
          <w:rFonts w:ascii="Arial" w:hAnsi="Arial"/>
          <w:sz w:val="18"/>
          <w:szCs w:val="18"/>
        </w:rPr>
      </w:pPr>
      <w:r w:rsidRPr="00491E54">
        <w:rPr>
          <w:rFonts w:ascii="Arial" w:hAnsi="Arial"/>
          <w:sz w:val="18"/>
          <w:szCs w:val="18"/>
        </w:rPr>
        <w:t>The London Market Group website (</w:t>
      </w:r>
      <w:hyperlink r:id="rId19" w:history="1">
        <w:r w:rsidRPr="00491E54">
          <w:rPr>
            <w:rFonts w:ascii="Arial" w:hAnsi="Arial"/>
            <w:color w:val="0000FF"/>
            <w:sz w:val="18"/>
            <w:szCs w:val="18"/>
            <w:u w:val="single"/>
          </w:rPr>
          <w:t>www.lmg.london</w:t>
        </w:r>
      </w:hyperlink>
      <w:r w:rsidRPr="00491E54">
        <w:rPr>
          <w:rFonts w:ascii="Arial" w:hAnsi="Arial"/>
          <w:sz w:val="18"/>
          <w:szCs w:val="18"/>
        </w:rPr>
        <w:t>) includes a Several Liability Decision Chart showing which several liability clause should be used in each case.</w:t>
      </w:r>
    </w:p>
    <w:p w14:paraId="2917B99E" w14:textId="77777777" w:rsidR="00491E54" w:rsidRPr="00491E54" w:rsidRDefault="00491E54" w:rsidP="001A55A3">
      <w:pPr>
        <w:pStyle w:val="Heading3"/>
      </w:pPr>
      <w:bookmarkStart w:id="22" w:name="_Toc236925690"/>
      <w:r w:rsidRPr="00491E54">
        <w:t>Inception Date Allocation</w:t>
      </w:r>
      <w:bookmarkEnd w:id="22"/>
    </w:p>
    <w:p w14:paraId="41075657" w14:textId="77777777" w:rsidR="00C94E75" w:rsidRPr="00C94E75" w:rsidRDefault="00C94E75" w:rsidP="00C94E75">
      <w:pPr>
        <w:pStyle w:val="BodyText"/>
      </w:pPr>
    </w:p>
    <w:p w14:paraId="0E3899A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Inception Date Allocation (IDA) is the market practice adopted at Lloyd’s for </w:t>
      </w:r>
      <w:bookmarkStart w:id="23" w:name="_Hlk15312906"/>
      <w:r w:rsidRPr="00491E54">
        <w:rPr>
          <w:rFonts w:ascii="Arial" w:hAnsi="Arial"/>
          <w:sz w:val="18"/>
          <w:szCs w:val="18"/>
        </w:rPr>
        <w:t>the allocation of risks to a year of account based on the inception date of the risk in question</w:t>
      </w:r>
      <w:bookmarkEnd w:id="23"/>
      <w:r w:rsidRPr="00491E54">
        <w:rPr>
          <w:rFonts w:ascii="Arial" w:hAnsi="Arial"/>
          <w:sz w:val="18"/>
          <w:szCs w:val="18"/>
        </w:rPr>
        <w:t xml:space="preserve">. </w:t>
      </w:r>
    </w:p>
    <w:p w14:paraId="2C6A3D95"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lastRenderedPageBreak/>
        <w:t>The proper allocation of risks in accordance with IDA can require careful consideration of the policy in question (for example where the policy is a multi-year risk or has been written under a binding authority or line slip).</w:t>
      </w:r>
    </w:p>
    <w:p w14:paraId="02C94849"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As the incorrect allocation of risks can also delay the processing of submissions, </w:t>
      </w:r>
      <w:proofErr w:type="spellStart"/>
      <w:r w:rsidRPr="00491E54">
        <w:rPr>
          <w:rFonts w:ascii="Arial" w:hAnsi="Arial"/>
          <w:sz w:val="18"/>
          <w:szCs w:val="18"/>
        </w:rPr>
        <w:t>Velonetic</w:t>
      </w:r>
      <w:proofErr w:type="spellEnd"/>
      <w:r w:rsidRPr="00491E54">
        <w:rPr>
          <w:rFonts w:ascii="Arial" w:hAnsi="Arial"/>
          <w:sz w:val="18"/>
          <w:szCs w:val="18"/>
        </w:rPr>
        <w:t xml:space="preserve"> has issued a market communication providing guidance on the proper application of IDA: ‘Lloyd’s Inception Date Allocation (IDA) – Reminder of How to Process through </w:t>
      </w:r>
      <w:proofErr w:type="spellStart"/>
      <w:r w:rsidRPr="00491E54">
        <w:rPr>
          <w:rFonts w:ascii="Arial" w:hAnsi="Arial"/>
          <w:sz w:val="18"/>
          <w:szCs w:val="18"/>
        </w:rPr>
        <w:t>Velonetic</w:t>
      </w:r>
      <w:proofErr w:type="spellEnd"/>
      <w:r w:rsidRPr="00491E54">
        <w:rPr>
          <w:rFonts w:ascii="Arial" w:hAnsi="Arial"/>
          <w:sz w:val="18"/>
          <w:szCs w:val="18"/>
        </w:rPr>
        <w:t>’ (Reference 2018/084).</w:t>
      </w:r>
    </w:p>
    <w:p w14:paraId="7EE6D31C"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Managing agents are encouraged to refer to the guidance provided by </w:t>
      </w:r>
      <w:proofErr w:type="spellStart"/>
      <w:r w:rsidRPr="00491E54">
        <w:rPr>
          <w:rFonts w:ascii="Arial" w:hAnsi="Arial"/>
          <w:sz w:val="18"/>
          <w:szCs w:val="18"/>
        </w:rPr>
        <w:t>Velonetic</w:t>
      </w:r>
      <w:proofErr w:type="spellEnd"/>
      <w:r w:rsidRPr="00491E54">
        <w:rPr>
          <w:rFonts w:ascii="Arial" w:hAnsi="Arial"/>
          <w:sz w:val="18"/>
          <w:szCs w:val="18"/>
        </w:rPr>
        <w:t xml:space="preserve"> to ensure the proper allocation of risks in accordance with IDA.  A copy of </w:t>
      </w:r>
      <w:proofErr w:type="spellStart"/>
      <w:r w:rsidRPr="00491E54">
        <w:rPr>
          <w:rFonts w:ascii="Arial" w:hAnsi="Arial"/>
          <w:sz w:val="18"/>
          <w:szCs w:val="18"/>
        </w:rPr>
        <w:t>Velonetic’s</w:t>
      </w:r>
      <w:proofErr w:type="spellEnd"/>
      <w:r w:rsidRPr="00491E54">
        <w:rPr>
          <w:rFonts w:ascii="Arial" w:hAnsi="Arial"/>
          <w:sz w:val="18"/>
          <w:szCs w:val="18"/>
        </w:rPr>
        <w:t xml:space="preserve"> guidance can be obtained from </w:t>
      </w:r>
      <w:hyperlink r:id="rId20" w:history="1">
        <w:r w:rsidRPr="00491E54">
          <w:rPr>
            <w:rFonts w:ascii="Arial" w:hAnsi="Arial"/>
            <w:color w:val="0000FF"/>
            <w:sz w:val="18"/>
            <w:szCs w:val="18"/>
            <w:u w:val="single"/>
          </w:rPr>
          <w:t>Service.Centre@dxc.com</w:t>
        </w:r>
      </w:hyperlink>
      <w:r w:rsidRPr="00491E54">
        <w:rPr>
          <w:rFonts w:ascii="Arial" w:hAnsi="Arial"/>
          <w:sz w:val="18"/>
          <w:szCs w:val="18"/>
        </w:rPr>
        <w:t>.</w:t>
      </w:r>
    </w:p>
    <w:p w14:paraId="78085DB4" w14:textId="7E41DE42" w:rsidR="00491E54" w:rsidRPr="00491E54" w:rsidRDefault="00491E54" w:rsidP="001A55A3">
      <w:pPr>
        <w:pStyle w:val="Heading2"/>
      </w:pPr>
      <w:bookmarkStart w:id="24" w:name="_Toc236925691"/>
      <w:r w:rsidRPr="00491E54">
        <w:t>Classes Subject to Additional Oversight and/or Approval</w:t>
      </w:r>
      <w:bookmarkEnd w:id="24"/>
    </w:p>
    <w:p w14:paraId="73FFAB36" w14:textId="77777777" w:rsidR="00491E54" w:rsidRPr="00491E54" w:rsidRDefault="00491E54" w:rsidP="00491E54">
      <w:pPr>
        <w:tabs>
          <w:tab w:val="right" w:pos="5897"/>
        </w:tabs>
        <w:spacing w:after="120" w:line="240" w:lineRule="atLeast"/>
        <w:rPr>
          <w:rFonts w:ascii="Arial" w:hAnsi="Arial"/>
          <w:sz w:val="18"/>
        </w:rPr>
      </w:pPr>
    </w:p>
    <w:p w14:paraId="7DE86046" w14:textId="3AD94B5F" w:rsidR="00491E54" w:rsidRPr="007E72D2" w:rsidRDefault="00491E54" w:rsidP="007E72D2">
      <w:pPr>
        <w:tabs>
          <w:tab w:val="right" w:pos="5897"/>
        </w:tabs>
        <w:spacing w:after="240" w:line="240" w:lineRule="atLeast"/>
        <w:rPr>
          <w:rFonts w:ascii="Arial" w:hAnsi="Arial" w:cs="Arial"/>
          <w:iCs/>
          <w:sz w:val="22"/>
          <w:szCs w:val="18"/>
        </w:rPr>
      </w:pPr>
      <w:r w:rsidRPr="00491E54">
        <w:rPr>
          <w:rFonts w:ascii="Arial" w:hAnsi="Arial" w:cs="Arial"/>
          <w:iCs/>
          <w:sz w:val="18"/>
          <w:szCs w:val="18"/>
        </w:rPr>
        <w:t xml:space="preserve">The uncontrolled writing of certain perils can present a material source of prudential risk for Lloyd’s.  The ability for exposures to aggregate means that these perils have the potential to threaten the market’s financial position.  Certain types of risks, if written, may also have a reputational impact on Lloyd’s.  Accordingly, these perils, as specified in this section, cannot be written by managing agents, or can only be written if done so in line with the restrictions set out.  Any managing agent that wishes to obtain an exemption from the requirements will require the separate agreement of Lloyd’s.  Agreement to write these perils can be obtained through the syndicate business planning process.  </w:t>
      </w:r>
    </w:p>
    <w:p w14:paraId="56C25311" w14:textId="77777777" w:rsidR="00491E54" w:rsidRDefault="00491E54" w:rsidP="001A55A3">
      <w:pPr>
        <w:pStyle w:val="Heading3"/>
      </w:pPr>
      <w:bookmarkStart w:id="25" w:name="_Toc236925692"/>
      <w:r w:rsidRPr="00491E54">
        <w:t>War &amp; NCBR Exposures</w:t>
      </w:r>
      <w:bookmarkStart w:id="26" w:name="_Hlk155866669"/>
      <w:bookmarkEnd w:id="25"/>
    </w:p>
    <w:bookmarkEnd w:id="26"/>
    <w:p w14:paraId="2CCA06DD" w14:textId="77777777" w:rsidR="000F4A77" w:rsidRPr="000F4A77" w:rsidRDefault="000F4A77" w:rsidP="000F4A77">
      <w:pPr>
        <w:pStyle w:val="BodyText"/>
      </w:pPr>
    </w:p>
    <w:p w14:paraId="77F993E8" w14:textId="77777777" w:rsidR="00491E54" w:rsidRPr="00491E54" w:rsidRDefault="00491E54" w:rsidP="00491E54">
      <w:pPr>
        <w:tabs>
          <w:tab w:val="right" w:pos="5897"/>
        </w:tabs>
        <w:spacing w:after="240" w:line="240" w:lineRule="atLeast"/>
        <w:rPr>
          <w:rFonts w:ascii="Arial" w:hAnsi="Arial" w:cs="Arial"/>
          <w:iCs/>
          <w:sz w:val="18"/>
          <w:szCs w:val="18"/>
        </w:rPr>
      </w:pPr>
      <w:r w:rsidRPr="00491E54">
        <w:rPr>
          <w:rFonts w:ascii="Arial" w:hAnsi="Arial" w:cs="Arial"/>
          <w:iCs/>
          <w:sz w:val="18"/>
          <w:szCs w:val="18"/>
        </w:rPr>
        <w:t>In this section War and NCBR are defined as follows:</w:t>
      </w:r>
    </w:p>
    <w:p w14:paraId="3CAC183A" w14:textId="77777777" w:rsidR="00491E54" w:rsidRPr="006C7C58" w:rsidRDefault="00491E54" w:rsidP="00ED01A5">
      <w:pPr>
        <w:pStyle w:val="ListParagraph"/>
        <w:numPr>
          <w:ilvl w:val="0"/>
          <w:numId w:val="51"/>
        </w:numPr>
        <w:tabs>
          <w:tab w:val="num" w:pos="85"/>
          <w:tab w:val="num" w:pos="284"/>
          <w:tab w:val="num" w:pos="425"/>
          <w:tab w:val="right" w:pos="5897"/>
        </w:tabs>
        <w:spacing w:after="120" w:line="240" w:lineRule="atLeast"/>
        <w:ind w:left="426" w:hanging="208"/>
        <w:rPr>
          <w:rFonts w:ascii="Arial" w:hAnsi="Arial" w:cs="Arial"/>
          <w:sz w:val="18"/>
          <w:szCs w:val="18"/>
        </w:rPr>
      </w:pPr>
      <w:r w:rsidRPr="006C7C58">
        <w:rPr>
          <w:rFonts w:ascii="Arial" w:hAnsi="Arial" w:cs="Arial"/>
          <w:b/>
          <w:sz w:val="18"/>
          <w:szCs w:val="18"/>
        </w:rPr>
        <w:t>War</w:t>
      </w:r>
      <w:r w:rsidRPr="006C7C58">
        <w:rPr>
          <w:rFonts w:ascii="Arial" w:hAnsi="Arial" w:cs="Arial"/>
          <w:sz w:val="18"/>
          <w:szCs w:val="18"/>
        </w:rPr>
        <w:t xml:space="preserve"> - includes all war related perils, including war, civil war, invasion, act of foreign enemies, hostilities (whether war be declared or not), rebellion, revolution, insurrection, military or usurped power. War related perils, however, does not include terrorism or SRCC (strikes, riots and civil commotion).</w:t>
      </w:r>
    </w:p>
    <w:p w14:paraId="312A471B" w14:textId="77777777" w:rsidR="00491E54" w:rsidRPr="00491E54" w:rsidRDefault="00491E54" w:rsidP="00ED01A5">
      <w:pPr>
        <w:spacing w:line="240" w:lineRule="atLeast"/>
        <w:ind w:left="426" w:hanging="208"/>
        <w:rPr>
          <w:rFonts w:ascii="Arial" w:hAnsi="Arial" w:cs="Arial"/>
          <w:sz w:val="18"/>
          <w:szCs w:val="18"/>
        </w:rPr>
      </w:pPr>
    </w:p>
    <w:p w14:paraId="3DF6AF13" w14:textId="77777777" w:rsidR="00491E54" w:rsidRPr="006C7C58" w:rsidRDefault="00491E54" w:rsidP="00ED01A5">
      <w:pPr>
        <w:pStyle w:val="ListParagraph"/>
        <w:numPr>
          <w:ilvl w:val="0"/>
          <w:numId w:val="51"/>
        </w:numPr>
        <w:tabs>
          <w:tab w:val="num" w:pos="85"/>
          <w:tab w:val="num" w:pos="284"/>
          <w:tab w:val="num" w:pos="425"/>
          <w:tab w:val="right" w:pos="5897"/>
        </w:tabs>
        <w:spacing w:after="120" w:line="240" w:lineRule="atLeast"/>
        <w:ind w:left="426" w:hanging="208"/>
        <w:rPr>
          <w:rFonts w:ascii="Arial" w:hAnsi="Arial" w:cs="Arial"/>
          <w:b/>
          <w:sz w:val="18"/>
          <w:szCs w:val="18"/>
        </w:rPr>
      </w:pPr>
      <w:r w:rsidRPr="006C7C58">
        <w:rPr>
          <w:rFonts w:ascii="Arial" w:hAnsi="Arial" w:cs="Arial"/>
          <w:b/>
          <w:sz w:val="18"/>
          <w:szCs w:val="18"/>
        </w:rPr>
        <w:t xml:space="preserve">NCBR </w:t>
      </w:r>
      <w:r w:rsidRPr="006C7C58">
        <w:rPr>
          <w:rFonts w:ascii="Arial" w:hAnsi="Arial" w:cs="Arial"/>
          <w:sz w:val="18"/>
          <w:szCs w:val="18"/>
        </w:rPr>
        <w:t>- means nuclear, chemical, biological or radioactive material used as a weapon. Losses arising from the use of NCBR weapons can occur as a result of war related perils. They can also arise from criminal or terrorist acts or incidents.  NCBR perils may result in direct or indirect losses.</w:t>
      </w:r>
    </w:p>
    <w:p w14:paraId="3BA744B1" w14:textId="77777777" w:rsidR="00491E54" w:rsidRPr="00491E54" w:rsidRDefault="00491E54" w:rsidP="00491E54">
      <w:pPr>
        <w:tabs>
          <w:tab w:val="right" w:pos="5897"/>
        </w:tabs>
        <w:spacing w:line="240" w:lineRule="atLeast"/>
        <w:rPr>
          <w:rFonts w:ascii="Arial" w:hAnsi="Arial" w:cs="Arial"/>
          <w:iCs/>
          <w:sz w:val="18"/>
          <w:szCs w:val="18"/>
        </w:rPr>
      </w:pPr>
    </w:p>
    <w:p w14:paraId="1B031D82" w14:textId="77777777" w:rsidR="00491E54" w:rsidRPr="00491E54" w:rsidRDefault="00491E54" w:rsidP="00491E54">
      <w:pPr>
        <w:tabs>
          <w:tab w:val="right" w:pos="5897"/>
        </w:tabs>
        <w:spacing w:line="240" w:lineRule="atLeast"/>
        <w:rPr>
          <w:rFonts w:ascii="Arial" w:hAnsi="Arial" w:cs="Arial"/>
          <w:b/>
          <w:iCs/>
          <w:sz w:val="18"/>
          <w:szCs w:val="18"/>
        </w:rPr>
      </w:pPr>
      <w:r w:rsidRPr="00491E54">
        <w:rPr>
          <w:rFonts w:ascii="Arial" w:hAnsi="Arial" w:cs="Arial"/>
          <w:b/>
          <w:iCs/>
          <w:sz w:val="18"/>
          <w:szCs w:val="18"/>
        </w:rPr>
        <w:t>When can War and NCBR risks be written?</w:t>
      </w:r>
    </w:p>
    <w:p w14:paraId="618FCA95" w14:textId="77777777" w:rsidR="00491E54" w:rsidRPr="00C63908" w:rsidRDefault="00491E54" w:rsidP="00491E54">
      <w:pPr>
        <w:tabs>
          <w:tab w:val="right" w:pos="5897"/>
        </w:tabs>
        <w:spacing w:line="240" w:lineRule="atLeast"/>
        <w:rPr>
          <w:rFonts w:ascii="Arial" w:hAnsi="Arial" w:cs="Arial"/>
          <w:iCs/>
          <w:color w:val="002060"/>
          <w:sz w:val="18"/>
          <w:szCs w:val="18"/>
        </w:rPr>
      </w:pPr>
    </w:p>
    <w:p w14:paraId="645BA578" w14:textId="052ED0FF" w:rsidR="00491E54" w:rsidRPr="008D6D37" w:rsidRDefault="00547972" w:rsidP="00BA55F4">
      <w:pPr>
        <w:tabs>
          <w:tab w:val="num" w:pos="85"/>
          <w:tab w:val="num" w:pos="369"/>
          <w:tab w:val="right" w:pos="5897"/>
          <w:tab w:val="right" w:pos="9582"/>
        </w:tabs>
        <w:spacing w:after="120" w:line="240" w:lineRule="atLeast"/>
        <w:rPr>
          <w:rFonts w:ascii="Arial" w:hAnsi="Arial" w:cs="Arial"/>
          <w:sz w:val="18"/>
          <w:szCs w:val="18"/>
        </w:rPr>
      </w:pPr>
      <w:r w:rsidRPr="008D6D37">
        <w:rPr>
          <w:rFonts w:ascii="Arial" w:hAnsi="Arial" w:cs="Arial"/>
          <w:sz w:val="18"/>
          <w:szCs w:val="18"/>
        </w:rPr>
        <w:t xml:space="preserve">Unless syndicates have Lloyd’s express agreement through the business planning process or </w:t>
      </w:r>
      <w:r w:rsidR="00491E54" w:rsidRPr="008D6D37">
        <w:rPr>
          <w:rFonts w:ascii="Arial" w:hAnsi="Arial" w:cs="Arial"/>
          <w:sz w:val="18"/>
          <w:szCs w:val="18"/>
        </w:rPr>
        <w:t xml:space="preserve">as provided for in </w:t>
      </w:r>
      <w:r w:rsidR="00C8003D" w:rsidRPr="008D6D37">
        <w:rPr>
          <w:rFonts w:ascii="Arial" w:hAnsi="Arial" w:cs="Arial"/>
          <w:sz w:val="18"/>
          <w:szCs w:val="18"/>
        </w:rPr>
        <w:t>1</w:t>
      </w:r>
      <w:r w:rsidR="00844212" w:rsidRPr="008D6D37">
        <w:rPr>
          <w:rFonts w:ascii="Arial" w:hAnsi="Arial" w:cs="Arial"/>
          <w:sz w:val="18"/>
          <w:szCs w:val="18"/>
        </w:rPr>
        <w:t xml:space="preserve">. </w:t>
      </w:r>
      <w:r w:rsidR="001E0B49" w:rsidRPr="008D6D37">
        <w:rPr>
          <w:rFonts w:ascii="Arial" w:hAnsi="Arial" w:cs="Arial"/>
          <w:sz w:val="18"/>
          <w:szCs w:val="18"/>
        </w:rPr>
        <w:t xml:space="preserve"> </w:t>
      </w:r>
      <w:r w:rsidR="00844212" w:rsidRPr="008D6D37">
        <w:rPr>
          <w:rFonts w:ascii="Arial" w:hAnsi="Arial" w:cs="Arial"/>
          <w:sz w:val="18"/>
          <w:szCs w:val="18"/>
        </w:rPr>
        <w:t>o</w:t>
      </w:r>
      <w:r w:rsidR="001E0B49" w:rsidRPr="008D6D37">
        <w:rPr>
          <w:rFonts w:ascii="Arial" w:hAnsi="Arial" w:cs="Arial"/>
          <w:sz w:val="18"/>
          <w:szCs w:val="18"/>
        </w:rPr>
        <w:t>r</w:t>
      </w:r>
      <w:r w:rsidR="00844212" w:rsidRPr="008D6D37">
        <w:rPr>
          <w:rFonts w:ascii="Arial" w:hAnsi="Arial" w:cs="Arial"/>
          <w:sz w:val="18"/>
          <w:szCs w:val="18"/>
        </w:rPr>
        <w:t xml:space="preserve"> </w:t>
      </w:r>
      <w:r w:rsidR="00C8003D" w:rsidRPr="008D6D37">
        <w:rPr>
          <w:rFonts w:ascii="Arial" w:hAnsi="Arial" w:cs="Arial"/>
          <w:sz w:val="18"/>
          <w:szCs w:val="18"/>
        </w:rPr>
        <w:t>2</w:t>
      </w:r>
      <w:r w:rsidR="00844212" w:rsidRPr="008D6D37">
        <w:rPr>
          <w:rFonts w:ascii="Arial" w:hAnsi="Arial" w:cs="Arial"/>
          <w:sz w:val="18"/>
          <w:szCs w:val="18"/>
        </w:rPr>
        <w:t>.</w:t>
      </w:r>
      <w:r w:rsidR="00C4021F" w:rsidRPr="008D6D37">
        <w:rPr>
          <w:rFonts w:ascii="Arial" w:hAnsi="Arial" w:cs="Arial"/>
          <w:sz w:val="18"/>
          <w:szCs w:val="18"/>
        </w:rPr>
        <w:t xml:space="preserve">, </w:t>
      </w:r>
      <w:r w:rsidR="00491E54" w:rsidRPr="008D6D37">
        <w:rPr>
          <w:rFonts w:ascii="Arial" w:hAnsi="Arial" w:cs="Arial"/>
          <w:sz w:val="18"/>
          <w:szCs w:val="18"/>
        </w:rPr>
        <w:t>below, all insurance and reinsurance policies written at Lloyd’s must contain a clause or clauses excluding all losses caused by War and NCBR perils.</w:t>
      </w:r>
    </w:p>
    <w:p w14:paraId="6E945BD6" w14:textId="0E476E22" w:rsidR="00F840B5" w:rsidRPr="008D6D37" w:rsidRDefault="00247ECA" w:rsidP="00F840B5">
      <w:pPr>
        <w:tabs>
          <w:tab w:val="right" w:pos="5897"/>
          <w:tab w:val="right" w:pos="9582"/>
        </w:tabs>
        <w:spacing w:after="120" w:line="240" w:lineRule="atLeast"/>
        <w:rPr>
          <w:rFonts w:ascii="Arial" w:hAnsi="Arial" w:cs="Arial"/>
          <w:sz w:val="18"/>
          <w:szCs w:val="18"/>
        </w:rPr>
      </w:pPr>
      <w:r w:rsidRPr="008D6D37">
        <w:rPr>
          <w:rFonts w:ascii="Arial" w:hAnsi="Arial" w:cs="Arial"/>
          <w:sz w:val="18"/>
          <w:szCs w:val="18"/>
        </w:rPr>
        <w:t>C</w:t>
      </w:r>
      <w:r w:rsidR="00491E54" w:rsidRPr="008D6D37">
        <w:rPr>
          <w:rFonts w:ascii="Arial" w:hAnsi="Arial" w:cs="Arial"/>
          <w:sz w:val="18"/>
          <w:szCs w:val="18"/>
        </w:rPr>
        <w:t>ircumstances</w:t>
      </w:r>
      <w:r w:rsidRPr="008D6D37">
        <w:rPr>
          <w:rFonts w:ascii="Arial" w:hAnsi="Arial" w:cs="Arial"/>
          <w:sz w:val="18"/>
          <w:szCs w:val="18"/>
        </w:rPr>
        <w:t xml:space="preserve"> in which prior approval</w:t>
      </w:r>
      <w:r w:rsidR="00E956CC" w:rsidRPr="008D6D37">
        <w:rPr>
          <w:rFonts w:ascii="Arial" w:hAnsi="Arial" w:cs="Arial"/>
          <w:sz w:val="18"/>
          <w:szCs w:val="18"/>
        </w:rPr>
        <w:t xml:space="preserve"> from Lloyd’s or exclusion</w:t>
      </w:r>
      <w:r w:rsidR="0016156F" w:rsidRPr="008D6D37">
        <w:rPr>
          <w:rFonts w:ascii="Arial" w:hAnsi="Arial" w:cs="Arial"/>
          <w:sz w:val="18"/>
          <w:szCs w:val="18"/>
        </w:rPr>
        <w:t xml:space="preserve">s for War and </w:t>
      </w:r>
      <w:r w:rsidR="00C844A5" w:rsidRPr="008D6D37">
        <w:rPr>
          <w:rFonts w:ascii="Arial" w:hAnsi="Arial" w:cs="Arial"/>
          <w:sz w:val="18"/>
          <w:szCs w:val="18"/>
        </w:rPr>
        <w:t>NCBR perils</w:t>
      </w:r>
      <w:r w:rsidR="00E956CC" w:rsidRPr="008D6D37">
        <w:rPr>
          <w:rFonts w:ascii="Arial" w:hAnsi="Arial" w:cs="Arial"/>
          <w:sz w:val="18"/>
          <w:szCs w:val="18"/>
        </w:rPr>
        <w:t xml:space="preserve"> </w:t>
      </w:r>
      <w:r w:rsidR="008E7B14" w:rsidRPr="008D6D37">
        <w:rPr>
          <w:rFonts w:ascii="Arial" w:hAnsi="Arial" w:cs="Arial"/>
          <w:sz w:val="18"/>
          <w:szCs w:val="18"/>
        </w:rPr>
        <w:t>are</w:t>
      </w:r>
      <w:r w:rsidR="00E956CC" w:rsidRPr="008D6D37">
        <w:rPr>
          <w:rFonts w:ascii="Arial" w:hAnsi="Arial" w:cs="Arial"/>
          <w:sz w:val="18"/>
          <w:szCs w:val="18"/>
        </w:rPr>
        <w:t xml:space="preserve"> not required</w:t>
      </w:r>
      <w:r w:rsidR="00491E54" w:rsidRPr="008D6D37">
        <w:rPr>
          <w:rFonts w:ascii="Arial" w:hAnsi="Arial" w:cs="Arial"/>
          <w:sz w:val="18"/>
          <w:szCs w:val="18"/>
        </w:rPr>
        <w:t>:</w:t>
      </w:r>
    </w:p>
    <w:p w14:paraId="298C0DB2" w14:textId="40092698" w:rsidR="002B0774" w:rsidRPr="008D6D37" w:rsidRDefault="002B0774" w:rsidP="00C8003D">
      <w:pPr>
        <w:pStyle w:val="ListParagraph"/>
        <w:numPr>
          <w:ilvl w:val="0"/>
          <w:numId w:val="52"/>
        </w:numPr>
        <w:tabs>
          <w:tab w:val="right" w:pos="5897"/>
          <w:tab w:val="right" w:pos="9582"/>
        </w:tabs>
        <w:spacing w:after="120" w:line="240" w:lineRule="atLeast"/>
        <w:rPr>
          <w:rFonts w:ascii="Arial" w:hAnsi="Arial" w:cs="Arial"/>
          <w:sz w:val="18"/>
          <w:szCs w:val="18"/>
        </w:rPr>
      </w:pPr>
      <w:r w:rsidRPr="008D6D37">
        <w:rPr>
          <w:rFonts w:ascii="Arial" w:hAnsi="Arial" w:cs="Arial"/>
          <w:sz w:val="18"/>
          <w:szCs w:val="18"/>
        </w:rPr>
        <w:t xml:space="preserve">Where exclusions for War and NCBR perils are prohibited by reason of local legal or regulatory requirements.  This does not include the writing of non-compulsory War and NCBR risks, such as reinsurance of the French GAREAT pool. </w:t>
      </w:r>
    </w:p>
    <w:p w14:paraId="54540F1A" w14:textId="5EA636AA" w:rsidR="002B0774" w:rsidRPr="008D6D37" w:rsidRDefault="002B0774" w:rsidP="002B0774">
      <w:pPr>
        <w:pStyle w:val="ListParagraph"/>
        <w:numPr>
          <w:ilvl w:val="0"/>
          <w:numId w:val="52"/>
        </w:numPr>
        <w:tabs>
          <w:tab w:val="num" w:pos="1070"/>
          <w:tab w:val="num" w:pos="1525"/>
          <w:tab w:val="right" w:pos="5897"/>
          <w:tab w:val="right" w:pos="9582"/>
        </w:tabs>
        <w:spacing w:after="120" w:line="240" w:lineRule="atLeast"/>
        <w:rPr>
          <w:rFonts w:ascii="Arial" w:hAnsi="Arial" w:cs="Arial"/>
          <w:sz w:val="18"/>
          <w:szCs w:val="18"/>
        </w:rPr>
      </w:pPr>
      <w:r w:rsidRPr="008D6D37">
        <w:rPr>
          <w:rFonts w:ascii="Arial" w:hAnsi="Arial" w:cs="Arial"/>
          <w:sz w:val="18"/>
          <w:szCs w:val="18"/>
        </w:rPr>
        <w:t>The exposures fall within one of the following exempt classes of business:</w:t>
      </w:r>
    </w:p>
    <w:p w14:paraId="2B52EC78" w14:textId="77777777" w:rsidR="002B0774" w:rsidRPr="008D6D37" w:rsidRDefault="00491E54" w:rsidP="002B0774">
      <w:pPr>
        <w:pStyle w:val="ListParagraph"/>
        <w:numPr>
          <w:ilvl w:val="0"/>
          <w:numId w:val="63"/>
        </w:numPr>
        <w:tabs>
          <w:tab w:val="num" w:pos="2008"/>
          <w:tab w:val="num" w:pos="2245"/>
          <w:tab w:val="right" w:pos="5897"/>
          <w:tab w:val="right" w:pos="9582"/>
        </w:tabs>
        <w:spacing w:after="120" w:line="240" w:lineRule="atLeast"/>
        <w:rPr>
          <w:rFonts w:ascii="Arial" w:hAnsi="Arial" w:cs="Arial"/>
          <w:sz w:val="18"/>
          <w:szCs w:val="18"/>
        </w:rPr>
      </w:pPr>
      <w:r w:rsidRPr="008D6D37">
        <w:rPr>
          <w:rFonts w:ascii="Arial" w:hAnsi="Arial" w:cs="Arial"/>
          <w:sz w:val="18"/>
          <w:szCs w:val="18"/>
        </w:rPr>
        <w:t>Legal Expenses (LE)</w:t>
      </w:r>
    </w:p>
    <w:p w14:paraId="47765C4B" w14:textId="77777777" w:rsidR="007A28E8" w:rsidRPr="008D6D37" w:rsidRDefault="00491E54" w:rsidP="007A28E8">
      <w:pPr>
        <w:pStyle w:val="ListParagraph"/>
        <w:numPr>
          <w:ilvl w:val="0"/>
          <w:numId w:val="63"/>
        </w:numPr>
        <w:tabs>
          <w:tab w:val="num" w:pos="2008"/>
          <w:tab w:val="num" w:pos="2245"/>
          <w:tab w:val="right" w:pos="5897"/>
          <w:tab w:val="right" w:pos="9582"/>
        </w:tabs>
        <w:spacing w:after="120" w:line="240" w:lineRule="atLeast"/>
        <w:rPr>
          <w:rFonts w:ascii="Arial" w:hAnsi="Arial" w:cs="Arial"/>
          <w:sz w:val="18"/>
          <w:szCs w:val="18"/>
        </w:rPr>
      </w:pPr>
      <w:r w:rsidRPr="008D6D37">
        <w:rPr>
          <w:rFonts w:ascii="Arial" w:hAnsi="Arial" w:cs="Arial"/>
          <w:sz w:val="18"/>
          <w:szCs w:val="18"/>
        </w:rPr>
        <w:t>All Casualty risk codes (which includes all risk codes within, Casualty FinPro, Casualty Treaty and Casualty Other) other than:</w:t>
      </w:r>
    </w:p>
    <w:p w14:paraId="5F9F5F0C" w14:textId="77777777" w:rsidR="007A28E8" w:rsidRPr="008D6D37" w:rsidRDefault="00491E54" w:rsidP="007A28E8">
      <w:pPr>
        <w:pStyle w:val="ListParagraph"/>
        <w:numPr>
          <w:ilvl w:val="0"/>
          <w:numId w:val="64"/>
        </w:numPr>
        <w:tabs>
          <w:tab w:val="right" w:pos="5897"/>
          <w:tab w:val="right" w:pos="9582"/>
        </w:tabs>
        <w:spacing w:after="120" w:line="240" w:lineRule="atLeast"/>
        <w:rPr>
          <w:rFonts w:ascii="Arial" w:hAnsi="Arial" w:cs="Arial"/>
          <w:sz w:val="18"/>
          <w:szCs w:val="18"/>
        </w:rPr>
      </w:pPr>
      <w:r w:rsidRPr="008D6D37">
        <w:rPr>
          <w:rFonts w:ascii="Arial" w:hAnsi="Arial"/>
          <w:sz w:val="18"/>
          <w:szCs w:val="16"/>
        </w:rPr>
        <w:t>BBB/Crime (BB)</w:t>
      </w:r>
    </w:p>
    <w:p w14:paraId="6653E8F8" w14:textId="77777777" w:rsidR="007A28E8" w:rsidRPr="008D6D37" w:rsidRDefault="00491E54" w:rsidP="007A28E8">
      <w:pPr>
        <w:pStyle w:val="ListParagraph"/>
        <w:numPr>
          <w:ilvl w:val="0"/>
          <w:numId w:val="64"/>
        </w:numPr>
        <w:tabs>
          <w:tab w:val="right" w:pos="5897"/>
          <w:tab w:val="right" w:pos="9582"/>
        </w:tabs>
        <w:spacing w:after="120" w:line="240" w:lineRule="atLeast"/>
        <w:rPr>
          <w:rFonts w:ascii="Arial" w:hAnsi="Arial" w:cs="Arial"/>
          <w:sz w:val="18"/>
          <w:szCs w:val="18"/>
        </w:rPr>
      </w:pPr>
      <w:r w:rsidRPr="008D6D37">
        <w:rPr>
          <w:rFonts w:ascii="Arial" w:hAnsi="Arial" w:cs="Arial"/>
          <w:sz w:val="18"/>
          <w:szCs w:val="18"/>
        </w:rPr>
        <w:t>Workers Compensation (US &amp; non US) (W4, W5 &amp; W6)</w:t>
      </w:r>
    </w:p>
    <w:p w14:paraId="0DBFD198" w14:textId="60CF723C" w:rsidR="00491E54" w:rsidRPr="008D6D37" w:rsidRDefault="00491E54" w:rsidP="007A28E8">
      <w:pPr>
        <w:pStyle w:val="ListParagraph"/>
        <w:numPr>
          <w:ilvl w:val="0"/>
          <w:numId w:val="64"/>
        </w:numPr>
        <w:tabs>
          <w:tab w:val="right" w:pos="5897"/>
          <w:tab w:val="right" w:pos="9582"/>
        </w:tabs>
        <w:spacing w:after="120" w:line="240" w:lineRule="atLeast"/>
        <w:rPr>
          <w:rFonts w:ascii="Arial" w:hAnsi="Arial" w:cs="Arial"/>
          <w:sz w:val="18"/>
          <w:szCs w:val="18"/>
        </w:rPr>
      </w:pPr>
      <w:proofErr w:type="spellStart"/>
      <w:r w:rsidRPr="008D6D37">
        <w:rPr>
          <w:rFonts w:ascii="Arial" w:hAnsi="Arial" w:cs="Arial"/>
          <w:sz w:val="18"/>
          <w:szCs w:val="18"/>
          <w:lang w:val="pl-PL"/>
        </w:rPr>
        <w:t>Cyber</w:t>
      </w:r>
      <w:proofErr w:type="spellEnd"/>
      <w:r w:rsidRPr="008D6D37">
        <w:rPr>
          <w:rFonts w:ascii="Arial" w:hAnsi="Arial" w:cs="Arial"/>
          <w:sz w:val="18"/>
          <w:szCs w:val="18"/>
          <w:lang w:val="pl-PL"/>
        </w:rPr>
        <w:t xml:space="preserve"> (CY, CZ, RY &amp; RZ)</w:t>
      </w:r>
      <w:r w:rsidR="00FF1A5C" w:rsidRPr="008D6D37">
        <w:rPr>
          <w:rFonts w:ascii="Arial" w:hAnsi="Arial" w:cs="Arial"/>
          <w:sz w:val="18"/>
          <w:szCs w:val="18"/>
          <w:lang w:val="pl-PL"/>
        </w:rPr>
        <w:t xml:space="preserve">. </w:t>
      </w:r>
      <w:r w:rsidR="00FF1A5C" w:rsidRPr="008D6D37">
        <w:rPr>
          <w:rFonts w:ascii="Arial" w:hAnsi="Arial" w:cs="Arial"/>
          <w:iCs/>
          <w:sz w:val="18"/>
          <w:szCs w:val="18"/>
        </w:rPr>
        <w:t>Specific requirements for state-backed cyber-attacks can be found in Market Bulletin Y5381 and Market Bulletin Y5433</w:t>
      </w:r>
    </w:p>
    <w:p w14:paraId="12D86347" w14:textId="1DF37166" w:rsidR="00491E54" w:rsidRPr="008D6D37" w:rsidRDefault="00491E54" w:rsidP="007A28E8">
      <w:pPr>
        <w:pStyle w:val="ListParagraph"/>
        <w:numPr>
          <w:ilvl w:val="0"/>
          <w:numId w:val="63"/>
        </w:numPr>
        <w:tabs>
          <w:tab w:val="num" w:pos="1724"/>
          <w:tab w:val="num" w:pos="2245"/>
          <w:tab w:val="right" w:pos="5897"/>
          <w:tab w:val="right" w:pos="9582"/>
        </w:tabs>
        <w:spacing w:after="120" w:line="240" w:lineRule="atLeast"/>
        <w:rPr>
          <w:rFonts w:ascii="Arial" w:hAnsi="Arial" w:cs="Arial"/>
          <w:sz w:val="18"/>
          <w:szCs w:val="18"/>
        </w:rPr>
      </w:pPr>
      <w:r w:rsidRPr="008D6D37">
        <w:rPr>
          <w:rFonts w:ascii="Arial" w:hAnsi="Arial" w:cs="Arial"/>
          <w:sz w:val="18"/>
          <w:szCs w:val="18"/>
        </w:rPr>
        <w:t>All Political Risk, Credit and Financial Guarantee risk codes (PR, CF, CR FG , SB FM, WT &amp; ST)</w:t>
      </w:r>
    </w:p>
    <w:p w14:paraId="126550F8" w14:textId="77777777" w:rsidR="00491E54" w:rsidRPr="00491E54" w:rsidRDefault="00491E54" w:rsidP="00491E54">
      <w:pPr>
        <w:tabs>
          <w:tab w:val="num" w:pos="1525"/>
          <w:tab w:val="right" w:pos="9582"/>
        </w:tabs>
        <w:spacing w:line="240" w:lineRule="atLeast"/>
        <w:rPr>
          <w:rFonts w:ascii="Arial" w:hAnsi="Arial" w:cs="Arial"/>
          <w:sz w:val="18"/>
          <w:szCs w:val="18"/>
        </w:rPr>
      </w:pPr>
    </w:p>
    <w:p w14:paraId="53DFFA15" w14:textId="77777777" w:rsidR="00491E54" w:rsidRPr="00491E54" w:rsidRDefault="00491E54" w:rsidP="00491E54">
      <w:pPr>
        <w:tabs>
          <w:tab w:val="right" w:pos="5897"/>
        </w:tabs>
        <w:spacing w:line="240" w:lineRule="atLeast"/>
        <w:rPr>
          <w:rFonts w:ascii="Arial" w:hAnsi="Arial" w:cs="Arial"/>
          <w:sz w:val="18"/>
          <w:szCs w:val="18"/>
        </w:rPr>
      </w:pPr>
    </w:p>
    <w:p w14:paraId="5289D61D" w14:textId="77777777" w:rsidR="00491E54" w:rsidRPr="00491E54" w:rsidRDefault="00491E54" w:rsidP="00491E54">
      <w:pPr>
        <w:keepNext/>
        <w:tabs>
          <w:tab w:val="right" w:pos="5897"/>
        </w:tabs>
        <w:spacing w:line="240" w:lineRule="atLeast"/>
        <w:rPr>
          <w:rFonts w:ascii="Arial" w:hAnsi="Arial" w:cs="Arial"/>
          <w:b/>
          <w:iCs/>
          <w:color w:val="1E35BF"/>
          <w:sz w:val="22"/>
          <w:szCs w:val="22"/>
        </w:rPr>
      </w:pPr>
      <w:r w:rsidRPr="00491E54">
        <w:rPr>
          <w:rFonts w:ascii="Arial" w:hAnsi="Arial" w:cs="Arial"/>
          <w:b/>
          <w:iCs/>
          <w:color w:val="1E35BF"/>
          <w:sz w:val="22"/>
          <w:szCs w:val="22"/>
        </w:rPr>
        <w:t>Requirements for writing War and NCBR Risks</w:t>
      </w:r>
    </w:p>
    <w:p w14:paraId="0CE7F240" w14:textId="77777777" w:rsidR="00491E54" w:rsidRPr="00491E54" w:rsidRDefault="00491E54" w:rsidP="00491E54">
      <w:pPr>
        <w:keepNext/>
        <w:tabs>
          <w:tab w:val="right" w:pos="5897"/>
        </w:tabs>
        <w:spacing w:line="240" w:lineRule="atLeast"/>
        <w:rPr>
          <w:rFonts w:ascii="Arial" w:hAnsi="Arial" w:cs="Arial"/>
          <w:color w:val="1E35BF"/>
          <w:sz w:val="22"/>
          <w:szCs w:val="22"/>
        </w:rPr>
      </w:pPr>
    </w:p>
    <w:p w14:paraId="39454150"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In all cases where coverage is provided for War and NCBR perils the following principles should be applied:</w:t>
      </w:r>
    </w:p>
    <w:p w14:paraId="30E77F84" w14:textId="77777777" w:rsidR="00491E54" w:rsidRPr="00491E54" w:rsidRDefault="00491E54" w:rsidP="00491E54">
      <w:pPr>
        <w:tabs>
          <w:tab w:val="right" w:pos="5897"/>
        </w:tabs>
        <w:spacing w:line="240" w:lineRule="atLeast"/>
        <w:rPr>
          <w:rFonts w:ascii="Arial" w:hAnsi="Arial" w:cs="Arial"/>
          <w:iCs/>
          <w:sz w:val="18"/>
          <w:szCs w:val="18"/>
        </w:rPr>
      </w:pPr>
    </w:p>
    <w:p w14:paraId="3C13C28B" w14:textId="77777777" w:rsidR="00491E54" w:rsidRPr="00491E54" w:rsidRDefault="00491E54" w:rsidP="00491E54">
      <w:pPr>
        <w:tabs>
          <w:tab w:val="right" w:pos="5897"/>
        </w:tabs>
        <w:spacing w:line="240" w:lineRule="atLeast"/>
        <w:rPr>
          <w:rFonts w:ascii="Arial" w:hAnsi="Arial" w:cs="Arial"/>
          <w:b/>
          <w:iCs/>
          <w:sz w:val="18"/>
          <w:szCs w:val="18"/>
        </w:rPr>
      </w:pPr>
      <w:r w:rsidRPr="00491E54">
        <w:rPr>
          <w:rFonts w:ascii="Arial" w:hAnsi="Arial" w:cs="Arial"/>
          <w:b/>
          <w:iCs/>
          <w:sz w:val="18"/>
          <w:szCs w:val="18"/>
        </w:rPr>
        <w:t>Policy language</w:t>
      </w:r>
    </w:p>
    <w:p w14:paraId="5D1B354C" w14:textId="77777777" w:rsidR="00491E54" w:rsidRPr="00491E54" w:rsidRDefault="00491E54" w:rsidP="00491E54">
      <w:pPr>
        <w:tabs>
          <w:tab w:val="right" w:pos="5897"/>
        </w:tabs>
        <w:spacing w:line="240" w:lineRule="atLeast"/>
        <w:rPr>
          <w:rFonts w:ascii="Arial" w:hAnsi="Arial" w:cs="Arial"/>
          <w:iCs/>
          <w:sz w:val="18"/>
          <w:szCs w:val="18"/>
        </w:rPr>
      </w:pPr>
    </w:p>
    <w:p w14:paraId="60AC6882" w14:textId="3CF2F29C" w:rsidR="00491E54" w:rsidRPr="008D6D37" w:rsidRDefault="00491E54" w:rsidP="008D6D37">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Where cover is to be given, the scope of cover must be clearly stated.  This can be most easily achieved by using a separate policy, a separate insuring clause or a separately identifiable section of the policy. Managing agents should not seek to provide cover merely by omitting a suitable exclusion clause (“remaining silent”) in view of the risk that a court may decide the scope of cover is wider than that intended. </w:t>
      </w:r>
    </w:p>
    <w:p w14:paraId="5132217C" w14:textId="77777777" w:rsidR="00491E54" w:rsidRPr="00491E54" w:rsidRDefault="00491E54" w:rsidP="00491E54">
      <w:pPr>
        <w:tabs>
          <w:tab w:val="right" w:pos="5897"/>
        </w:tabs>
        <w:spacing w:line="240" w:lineRule="atLeast"/>
        <w:rPr>
          <w:rFonts w:ascii="Arial" w:hAnsi="Arial" w:cs="Arial"/>
          <w:iCs/>
          <w:sz w:val="18"/>
          <w:szCs w:val="18"/>
        </w:rPr>
      </w:pPr>
    </w:p>
    <w:p w14:paraId="0B3B7F39"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The LMA has developed a number of model clauses that specifically exclude or provide coverage.  </w:t>
      </w:r>
    </w:p>
    <w:p w14:paraId="048C53C6" w14:textId="77777777" w:rsidR="00491E54" w:rsidRPr="00491E54" w:rsidRDefault="00491E54" w:rsidP="00491E54">
      <w:pPr>
        <w:tabs>
          <w:tab w:val="right" w:pos="5897"/>
        </w:tabs>
        <w:spacing w:line="240" w:lineRule="atLeast"/>
        <w:rPr>
          <w:rFonts w:ascii="Arial" w:hAnsi="Arial" w:cs="Arial"/>
          <w:iCs/>
          <w:sz w:val="18"/>
          <w:szCs w:val="18"/>
        </w:rPr>
      </w:pPr>
    </w:p>
    <w:p w14:paraId="167690E6"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It is important to ensure that, where policies are specifically extended to cover War perils, the wording of the extension does not override any NCBR exclusion contained within the policy. </w:t>
      </w:r>
    </w:p>
    <w:p w14:paraId="5DA18359" w14:textId="77777777" w:rsidR="00491E54" w:rsidRPr="00491E54" w:rsidRDefault="00491E54" w:rsidP="00491E54">
      <w:pPr>
        <w:tabs>
          <w:tab w:val="right" w:pos="5897"/>
        </w:tabs>
        <w:spacing w:line="240" w:lineRule="atLeast"/>
        <w:rPr>
          <w:rFonts w:ascii="Arial" w:hAnsi="Arial" w:cs="Arial"/>
          <w:iCs/>
          <w:sz w:val="18"/>
          <w:szCs w:val="18"/>
        </w:rPr>
      </w:pPr>
    </w:p>
    <w:p w14:paraId="1838C53A"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Where local law or regulations impose requirements on how coverage should be provided for in policy documentation it is acceptable to follow those requirements.</w:t>
      </w:r>
    </w:p>
    <w:p w14:paraId="54F2F805" w14:textId="77777777" w:rsidR="00491E54" w:rsidRPr="00491E54" w:rsidRDefault="00491E54" w:rsidP="00491E54">
      <w:pPr>
        <w:tabs>
          <w:tab w:val="right" w:pos="5897"/>
        </w:tabs>
        <w:spacing w:line="240" w:lineRule="atLeast"/>
        <w:rPr>
          <w:rFonts w:ascii="Arial" w:hAnsi="Arial" w:cs="Arial"/>
          <w:iCs/>
          <w:sz w:val="18"/>
          <w:szCs w:val="18"/>
        </w:rPr>
      </w:pPr>
    </w:p>
    <w:p w14:paraId="0821A944" w14:textId="77777777" w:rsidR="00491E54" w:rsidRPr="00491E54" w:rsidRDefault="00491E54" w:rsidP="00491E54">
      <w:pPr>
        <w:tabs>
          <w:tab w:val="right" w:pos="5897"/>
        </w:tabs>
        <w:spacing w:line="240" w:lineRule="atLeast"/>
        <w:rPr>
          <w:rFonts w:ascii="Arial" w:hAnsi="Arial" w:cs="Arial"/>
          <w:b/>
          <w:iCs/>
          <w:sz w:val="18"/>
          <w:szCs w:val="18"/>
        </w:rPr>
      </w:pPr>
      <w:r w:rsidRPr="00491E54">
        <w:rPr>
          <w:rFonts w:ascii="Arial" w:hAnsi="Arial" w:cs="Arial"/>
          <w:b/>
          <w:iCs/>
          <w:sz w:val="18"/>
          <w:szCs w:val="18"/>
        </w:rPr>
        <w:t>Monitoring and control of exposure</w:t>
      </w:r>
    </w:p>
    <w:p w14:paraId="0E675A31" w14:textId="77777777" w:rsidR="00491E54" w:rsidRPr="00491E54" w:rsidRDefault="00491E54" w:rsidP="00491E54">
      <w:pPr>
        <w:tabs>
          <w:tab w:val="right" w:pos="5897"/>
        </w:tabs>
        <w:spacing w:line="240" w:lineRule="atLeast"/>
        <w:rPr>
          <w:rFonts w:ascii="Arial" w:hAnsi="Arial" w:cs="Arial"/>
          <w:iCs/>
          <w:sz w:val="18"/>
          <w:szCs w:val="18"/>
        </w:rPr>
      </w:pPr>
    </w:p>
    <w:p w14:paraId="2DFBBE07" w14:textId="77777777" w:rsidR="00491E54" w:rsidRPr="008D6D37"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Managing agents are required to demonstrate that they are monitoring and controlling the exposure of their syndicates to War and NCBR perils. This includes all exposures, however written by the syndicate, including where any coverage given </w:t>
      </w:r>
      <w:r w:rsidRPr="008D6D37">
        <w:rPr>
          <w:rFonts w:ascii="Arial" w:hAnsi="Arial" w:cs="Arial"/>
          <w:iCs/>
          <w:sz w:val="18"/>
          <w:szCs w:val="18"/>
        </w:rPr>
        <w:t xml:space="preserve">is only included because War and NCBR exclusions are prohibited by local legal or regulatory requirements. Exposures within exempted classes should also be included when syndicates are monitoring and controlling exposures.  </w:t>
      </w:r>
    </w:p>
    <w:p w14:paraId="2DB5DD2C" w14:textId="77777777" w:rsidR="00491E54" w:rsidRPr="008D6D37" w:rsidRDefault="00491E54" w:rsidP="00491E54">
      <w:pPr>
        <w:tabs>
          <w:tab w:val="right" w:pos="5897"/>
        </w:tabs>
        <w:spacing w:line="240" w:lineRule="atLeast"/>
        <w:rPr>
          <w:rFonts w:ascii="Arial" w:hAnsi="Arial" w:cs="Arial"/>
          <w:iCs/>
          <w:sz w:val="18"/>
          <w:szCs w:val="18"/>
        </w:rPr>
      </w:pPr>
    </w:p>
    <w:p w14:paraId="34F2B787" w14:textId="422C8E3B" w:rsidR="00491E54" w:rsidRPr="008D6D37" w:rsidRDefault="00491E54" w:rsidP="00491E54">
      <w:pPr>
        <w:tabs>
          <w:tab w:val="right" w:pos="5897"/>
        </w:tabs>
        <w:spacing w:line="240" w:lineRule="atLeast"/>
        <w:rPr>
          <w:rFonts w:ascii="Arial" w:hAnsi="Arial" w:cs="Arial"/>
          <w:iCs/>
          <w:sz w:val="18"/>
          <w:szCs w:val="18"/>
        </w:rPr>
      </w:pPr>
      <w:r w:rsidRPr="008D6D37">
        <w:rPr>
          <w:rFonts w:ascii="Arial" w:hAnsi="Arial" w:cs="Arial"/>
          <w:iCs/>
          <w:sz w:val="18"/>
          <w:szCs w:val="18"/>
        </w:rPr>
        <w:t>Syndicates should have in place processes and procedures to monitor exposures from War and NCBR perils.  These exposures should be assessed against the syndicate’s risk appetite for these exposures on a regular basis.</w:t>
      </w:r>
      <w:r w:rsidR="007C1D79" w:rsidRPr="008D6D37">
        <w:rPr>
          <w:rFonts w:ascii="Arial" w:hAnsi="Arial" w:cs="Arial"/>
          <w:iCs/>
          <w:sz w:val="18"/>
          <w:szCs w:val="18"/>
        </w:rPr>
        <w:t xml:space="preserve"> </w:t>
      </w:r>
      <w:r w:rsidR="00311FBB" w:rsidRPr="008D6D37">
        <w:rPr>
          <w:rFonts w:ascii="Arial" w:hAnsi="Arial" w:cs="Arial"/>
          <w:iCs/>
          <w:sz w:val="18"/>
          <w:szCs w:val="18"/>
        </w:rPr>
        <w:t>Consideration</w:t>
      </w:r>
      <w:r w:rsidR="007C1D79" w:rsidRPr="008D6D37">
        <w:rPr>
          <w:rFonts w:ascii="Arial" w:hAnsi="Arial" w:cs="Arial"/>
          <w:iCs/>
          <w:sz w:val="18"/>
          <w:szCs w:val="18"/>
        </w:rPr>
        <w:t xml:space="preserve"> should be </w:t>
      </w:r>
      <w:r w:rsidR="00311FBB" w:rsidRPr="008D6D37">
        <w:rPr>
          <w:rFonts w:ascii="Arial" w:hAnsi="Arial" w:cs="Arial"/>
          <w:iCs/>
          <w:sz w:val="18"/>
          <w:szCs w:val="18"/>
        </w:rPr>
        <w:t>given</w:t>
      </w:r>
      <w:r w:rsidR="007C1D79" w:rsidRPr="008D6D37">
        <w:rPr>
          <w:rFonts w:ascii="Arial" w:hAnsi="Arial" w:cs="Arial"/>
          <w:iCs/>
          <w:sz w:val="18"/>
          <w:szCs w:val="18"/>
        </w:rPr>
        <w:t xml:space="preserve"> to the </w:t>
      </w:r>
      <w:r w:rsidR="00480919" w:rsidRPr="008D6D37">
        <w:rPr>
          <w:rFonts w:ascii="Arial" w:hAnsi="Arial" w:cs="Arial"/>
          <w:iCs/>
          <w:sz w:val="18"/>
          <w:szCs w:val="18"/>
        </w:rPr>
        <w:t xml:space="preserve">potential for coverage provided by outwards reinsurance protections to </w:t>
      </w:r>
      <w:r w:rsidR="009A1EEB" w:rsidRPr="008D6D37">
        <w:rPr>
          <w:rFonts w:ascii="Arial" w:hAnsi="Arial" w:cs="Arial"/>
          <w:iCs/>
          <w:sz w:val="18"/>
          <w:szCs w:val="18"/>
        </w:rPr>
        <w:t>not be as broad as the exposure assumed for War and NCBR perils</w:t>
      </w:r>
      <w:r w:rsidR="00E9646F" w:rsidRPr="008D6D37">
        <w:rPr>
          <w:rFonts w:ascii="Arial" w:hAnsi="Arial" w:cs="Arial"/>
          <w:iCs/>
          <w:sz w:val="18"/>
          <w:szCs w:val="18"/>
        </w:rPr>
        <w:t>, for example where a direct insurance policy is required by local law and regulation</w:t>
      </w:r>
      <w:r w:rsidR="00D1597F" w:rsidRPr="008D6D37">
        <w:rPr>
          <w:rFonts w:ascii="Arial" w:hAnsi="Arial" w:cs="Arial"/>
          <w:iCs/>
          <w:sz w:val="18"/>
          <w:szCs w:val="18"/>
        </w:rPr>
        <w:t xml:space="preserve"> to provide War and/or NCBR perils but the same requirement does not apply to </w:t>
      </w:r>
      <w:r w:rsidR="0005522E" w:rsidRPr="008D6D37">
        <w:rPr>
          <w:rFonts w:ascii="Arial" w:hAnsi="Arial" w:cs="Arial"/>
          <w:iCs/>
          <w:sz w:val="18"/>
          <w:szCs w:val="18"/>
        </w:rPr>
        <w:t>reinsurance policies.</w:t>
      </w:r>
    </w:p>
    <w:p w14:paraId="5E778803" w14:textId="77777777" w:rsidR="00491E54" w:rsidRPr="008D6D37" w:rsidRDefault="00491E54" w:rsidP="00491E54">
      <w:pPr>
        <w:tabs>
          <w:tab w:val="right" w:pos="5897"/>
        </w:tabs>
        <w:spacing w:line="240" w:lineRule="atLeast"/>
        <w:rPr>
          <w:rFonts w:ascii="Arial" w:hAnsi="Arial" w:cs="Arial"/>
          <w:iCs/>
          <w:sz w:val="18"/>
          <w:szCs w:val="18"/>
        </w:rPr>
      </w:pPr>
    </w:p>
    <w:p w14:paraId="2AA9D05B" w14:textId="77777777" w:rsidR="00491E54" w:rsidRPr="008D6D37" w:rsidRDefault="00491E54" w:rsidP="00491E54">
      <w:pPr>
        <w:tabs>
          <w:tab w:val="right" w:pos="5897"/>
        </w:tabs>
        <w:spacing w:line="240" w:lineRule="atLeast"/>
        <w:rPr>
          <w:rFonts w:ascii="Arial" w:hAnsi="Arial" w:cs="Arial"/>
          <w:iCs/>
          <w:sz w:val="18"/>
          <w:szCs w:val="18"/>
        </w:rPr>
      </w:pPr>
      <w:r w:rsidRPr="008D6D37">
        <w:rPr>
          <w:rFonts w:ascii="Arial" w:hAnsi="Arial" w:cs="Arial"/>
          <w:iCs/>
          <w:sz w:val="18"/>
          <w:szCs w:val="18"/>
        </w:rPr>
        <w:t xml:space="preserve">Exposure control is reviewed by Lloyd’s through the provision by managing agents of the War and NCBR Return as part of the business plan and RDS processes. The War and NCBR Return should be completed for all exposures other than categories </w:t>
      </w:r>
      <w:proofErr w:type="spellStart"/>
      <w:r w:rsidRPr="008D6D37">
        <w:rPr>
          <w:rFonts w:ascii="Arial" w:hAnsi="Arial" w:cs="Arial"/>
          <w:iCs/>
          <w:sz w:val="18"/>
          <w:szCs w:val="18"/>
        </w:rPr>
        <w:t>i</w:t>
      </w:r>
      <w:proofErr w:type="spellEnd"/>
      <w:r w:rsidRPr="008D6D37">
        <w:rPr>
          <w:rFonts w:ascii="Arial" w:hAnsi="Arial" w:cs="Arial"/>
          <w:iCs/>
          <w:sz w:val="18"/>
          <w:szCs w:val="18"/>
        </w:rPr>
        <w:t>. and ii. of the exempted classes (Legal Expenses and Casualty).</w:t>
      </w:r>
    </w:p>
    <w:p w14:paraId="4FAAF0CD" w14:textId="77777777" w:rsidR="00491E54" w:rsidRPr="00491E54" w:rsidRDefault="00491E54" w:rsidP="00491E54">
      <w:pPr>
        <w:tabs>
          <w:tab w:val="right" w:pos="5897"/>
        </w:tabs>
        <w:spacing w:line="240" w:lineRule="atLeast"/>
        <w:rPr>
          <w:rFonts w:ascii="Arial" w:hAnsi="Arial" w:cs="Arial"/>
          <w:iCs/>
          <w:sz w:val="18"/>
          <w:szCs w:val="18"/>
        </w:rPr>
      </w:pPr>
    </w:p>
    <w:p w14:paraId="6BE4B5B9" w14:textId="77777777" w:rsidR="00491E54" w:rsidRPr="00491E54" w:rsidRDefault="00491E54" w:rsidP="00491E54">
      <w:pPr>
        <w:keepNext/>
        <w:tabs>
          <w:tab w:val="right" w:pos="5897"/>
        </w:tabs>
        <w:spacing w:line="240" w:lineRule="atLeast"/>
        <w:rPr>
          <w:rFonts w:ascii="Arial" w:hAnsi="Arial" w:cs="Arial"/>
          <w:b/>
          <w:iCs/>
          <w:color w:val="1E35BF"/>
          <w:sz w:val="22"/>
          <w:szCs w:val="22"/>
        </w:rPr>
      </w:pPr>
      <w:r w:rsidRPr="00491E54">
        <w:rPr>
          <w:rFonts w:ascii="Arial" w:hAnsi="Arial" w:cs="Arial"/>
          <w:b/>
          <w:iCs/>
          <w:color w:val="1E35BF"/>
          <w:sz w:val="22"/>
          <w:szCs w:val="22"/>
        </w:rPr>
        <w:t>Syndicate Business Plan agreement</w:t>
      </w:r>
    </w:p>
    <w:p w14:paraId="401C5E76" w14:textId="77777777" w:rsidR="00491E54" w:rsidRPr="00491E54" w:rsidRDefault="00491E54" w:rsidP="00491E54">
      <w:pPr>
        <w:keepNext/>
        <w:tabs>
          <w:tab w:val="right" w:pos="5897"/>
        </w:tabs>
        <w:spacing w:line="240" w:lineRule="atLeast"/>
        <w:rPr>
          <w:rFonts w:ascii="Arial" w:hAnsi="Arial" w:cs="Arial"/>
          <w:iCs/>
          <w:color w:val="1E35BF"/>
          <w:sz w:val="22"/>
          <w:szCs w:val="22"/>
        </w:rPr>
      </w:pPr>
    </w:p>
    <w:p w14:paraId="1B60B035" w14:textId="7712CE76" w:rsidR="00491E54" w:rsidRPr="008D6D37"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Where syndicates intend to write War and NCBR risks they must complete the War and NCBR Return (other than for categories </w:t>
      </w:r>
      <w:r w:rsidR="008030E1">
        <w:rPr>
          <w:rFonts w:ascii="Arial" w:hAnsi="Arial" w:cs="Arial"/>
          <w:iCs/>
          <w:sz w:val="18"/>
          <w:szCs w:val="18"/>
        </w:rPr>
        <w:t>a</w:t>
      </w:r>
      <w:r w:rsidRPr="00491E54">
        <w:rPr>
          <w:rFonts w:ascii="Arial" w:hAnsi="Arial" w:cs="Arial"/>
          <w:iCs/>
          <w:sz w:val="18"/>
          <w:szCs w:val="18"/>
        </w:rPr>
        <w:t xml:space="preserve">. and </w:t>
      </w:r>
      <w:r w:rsidR="008030E1">
        <w:rPr>
          <w:rFonts w:ascii="Arial" w:hAnsi="Arial" w:cs="Arial"/>
          <w:iCs/>
          <w:sz w:val="18"/>
          <w:szCs w:val="18"/>
        </w:rPr>
        <w:t>b</w:t>
      </w:r>
      <w:r w:rsidRPr="00491E54">
        <w:rPr>
          <w:rFonts w:ascii="Arial" w:hAnsi="Arial" w:cs="Arial"/>
          <w:iCs/>
          <w:sz w:val="18"/>
          <w:szCs w:val="18"/>
        </w:rPr>
        <w:t xml:space="preserve">. of the exempted classes (Legal Expenses and Casualty)) and submit it as part of the syndicate business planning process.  Agreement to any plans for the writing of War and NCBR will be provided as part of the business planning process. Mid-year changes to business plans in respect of War and NCBR can be made in the usual </w:t>
      </w:r>
      <w:r w:rsidRPr="008D6D37">
        <w:rPr>
          <w:rFonts w:ascii="Arial" w:hAnsi="Arial" w:cs="Arial"/>
          <w:iCs/>
          <w:sz w:val="18"/>
          <w:szCs w:val="18"/>
        </w:rPr>
        <w:t>way.</w:t>
      </w:r>
    </w:p>
    <w:p w14:paraId="10977118" w14:textId="77777777" w:rsidR="009E3432" w:rsidRPr="008D6D37" w:rsidRDefault="009E3432" w:rsidP="00491E54">
      <w:pPr>
        <w:tabs>
          <w:tab w:val="right" w:pos="5897"/>
        </w:tabs>
        <w:spacing w:line="240" w:lineRule="atLeast"/>
        <w:rPr>
          <w:rFonts w:ascii="Arial" w:hAnsi="Arial" w:cs="Arial"/>
          <w:iCs/>
          <w:sz w:val="18"/>
          <w:szCs w:val="18"/>
        </w:rPr>
      </w:pPr>
    </w:p>
    <w:p w14:paraId="35AD1A8D" w14:textId="50B9149A" w:rsidR="00C305B2" w:rsidRPr="008D6D37" w:rsidRDefault="00C305B2" w:rsidP="00491E54">
      <w:pPr>
        <w:tabs>
          <w:tab w:val="right" w:pos="5897"/>
        </w:tabs>
        <w:spacing w:line="240" w:lineRule="atLeast"/>
        <w:rPr>
          <w:rFonts w:ascii="Arial" w:hAnsi="Arial" w:cs="Arial"/>
          <w:iCs/>
          <w:sz w:val="18"/>
          <w:szCs w:val="18"/>
        </w:rPr>
      </w:pPr>
      <w:r w:rsidRPr="008D6D37">
        <w:rPr>
          <w:rFonts w:ascii="Arial" w:hAnsi="Arial" w:cs="Arial"/>
          <w:iCs/>
          <w:sz w:val="18"/>
          <w:szCs w:val="18"/>
        </w:rPr>
        <w:t xml:space="preserve">Where agreement for syndicates to </w:t>
      </w:r>
      <w:r w:rsidR="00454556" w:rsidRPr="008D6D37">
        <w:rPr>
          <w:rFonts w:ascii="Arial" w:hAnsi="Arial" w:cs="Arial"/>
          <w:iCs/>
          <w:sz w:val="18"/>
          <w:szCs w:val="18"/>
        </w:rPr>
        <w:t xml:space="preserve">write War and NCBR risks is provided, syndicates should ensure they utilise the appropriate </w:t>
      </w:r>
      <w:r w:rsidR="009E3432" w:rsidRPr="008D6D37">
        <w:rPr>
          <w:rFonts w:ascii="Arial" w:hAnsi="Arial" w:cs="Arial"/>
          <w:iCs/>
          <w:sz w:val="18"/>
          <w:szCs w:val="18"/>
        </w:rPr>
        <w:t>risk codes (e.g. marine war, cargo war, aviation war, war on land, cyber war).</w:t>
      </w:r>
    </w:p>
    <w:p w14:paraId="6754A4D6" w14:textId="77777777" w:rsidR="00491E54" w:rsidRPr="00491E54" w:rsidRDefault="00491E54" w:rsidP="00491E54">
      <w:pPr>
        <w:tabs>
          <w:tab w:val="right" w:pos="5897"/>
        </w:tabs>
        <w:spacing w:line="240" w:lineRule="atLeast"/>
        <w:rPr>
          <w:rFonts w:ascii="Arial" w:hAnsi="Arial" w:cs="Arial"/>
          <w:iCs/>
          <w:sz w:val="18"/>
          <w:szCs w:val="18"/>
        </w:rPr>
      </w:pPr>
    </w:p>
    <w:p w14:paraId="35449FCD" w14:textId="77777777" w:rsidR="00491E54" w:rsidRPr="00491E54" w:rsidRDefault="00491E54" w:rsidP="00491E54">
      <w:pPr>
        <w:keepNext/>
        <w:tabs>
          <w:tab w:val="right" w:pos="5897"/>
        </w:tabs>
        <w:spacing w:line="240" w:lineRule="atLeast"/>
        <w:rPr>
          <w:rFonts w:ascii="Arial" w:hAnsi="Arial" w:cs="Arial"/>
          <w:b/>
          <w:iCs/>
          <w:color w:val="1E35BF"/>
          <w:sz w:val="22"/>
          <w:szCs w:val="22"/>
        </w:rPr>
      </w:pPr>
      <w:r w:rsidRPr="00491E54">
        <w:rPr>
          <w:rFonts w:ascii="Arial" w:hAnsi="Arial" w:cs="Arial"/>
          <w:b/>
          <w:iCs/>
          <w:color w:val="1E35BF"/>
          <w:sz w:val="22"/>
          <w:szCs w:val="22"/>
        </w:rPr>
        <w:t>Delegated underwriting</w:t>
      </w:r>
    </w:p>
    <w:p w14:paraId="24B35131" w14:textId="77777777" w:rsidR="00491E54" w:rsidRPr="00491E54" w:rsidRDefault="00491E54" w:rsidP="00491E54">
      <w:pPr>
        <w:keepNext/>
        <w:tabs>
          <w:tab w:val="right" w:pos="5897"/>
        </w:tabs>
        <w:spacing w:line="240" w:lineRule="atLeast"/>
        <w:rPr>
          <w:rFonts w:ascii="Arial" w:hAnsi="Arial" w:cs="Arial"/>
          <w:iCs/>
          <w:sz w:val="18"/>
          <w:szCs w:val="18"/>
        </w:rPr>
      </w:pPr>
    </w:p>
    <w:p w14:paraId="0E3E96DA"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Subject to appropriately robust underwriting controls being in place for any delegated authority arrangements and subject to compliance with the requirements in the rest of this section, the underwriting of War and NCBR perils by </w:t>
      </w:r>
      <w:proofErr w:type="spellStart"/>
      <w:r w:rsidRPr="00491E54">
        <w:rPr>
          <w:rFonts w:ascii="Arial" w:hAnsi="Arial" w:cs="Arial"/>
          <w:iCs/>
          <w:sz w:val="18"/>
          <w:szCs w:val="18"/>
        </w:rPr>
        <w:t>coverholders</w:t>
      </w:r>
      <w:proofErr w:type="spellEnd"/>
      <w:r w:rsidRPr="00491E54">
        <w:rPr>
          <w:rFonts w:ascii="Arial" w:hAnsi="Arial" w:cs="Arial"/>
          <w:iCs/>
          <w:sz w:val="18"/>
          <w:szCs w:val="18"/>
        </w:rPr>
        <w:t xml:space="preserve"> or by way of line slips or consortium arrangements is permitted.</w:t>
      </w:r>
    </w:p>
    <w:p w14:paraId="122DD8B4" w14:textId="77777777" w:rsidR="00491E54" w:rsidRPr="00491E54" w:rsidRDefault="00491E54" w:rsidP="00491E54">
      <w:pPr>
        <w:tabs>
          <w:tab w:val="right" w:pos="5897"/>
        </w:tabs>
        <w:spacing w:line="240" w:lineRule="atLeast"/>
        <w:rPr>
          <w:rFonts w:ascii="Arial" w:hAnsi="Arial" w:cs="Arial"/>
          <w:iCs/>
          <w:sz w:val="18"/>
          <w:szCs w:val="18"/>
        </w:rPr>
      </w:pPr>
    </w:p>
    <w:p w14:paraId="03DF2B04" w14:textId="77777777"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In all cases, underwriters should ensure that there are arrangements in place to provide them with prompt advice of exposure assumed under such delegated authorities.</w:t>
      </w:r>
    </w:p>
    <w:p w14:paraId="2381DFB8" w14:textId="77777777" w:rsidR="00491E54" w:rsidRPr="00491E54" w:rsidRDefault="00491E54" w:rsidP="00491E54">
      <w:pPr>
        <w:tabs>
          <w:tab w:val="right" w:pos="5897"/>
        </w:tabs>
        <w:spacing w:line="240" w:lineRule="atLeast"/>
        <w:rPr>
          <w:rFonts w:ascii="Arial" w:hAnsi="Arial" w:cs="Arial"/>
          <w:iCs/>
          <w:sz w:val="18"/>
          <w:szCs w:val="18"/>
        </w:rPr>
      </w:pPr>
    </w:p>
    <w:p w14:paraId="48705036" w14:textId="77777777" w:rsidR="00491E54" w:rsidRPr="00491E54" w:rsidRDefault="00491E54" w:rsidP="00491E54">
      <w:pPr>
        <w:tabs>
          <w:tab w:val="right" w:pos="5897"/>
        </w:tabs>
        <w:spacing w:line="240" w:lineRule="atLeast"/>
        <w:rPr>
          <w:rFonts w:ascii="Arial" w:hAnsi="Arial" w:cs="Arial"/>
          <w:b/>
          <w:iCs/>
          <w:color w:val="1E35BF"/>
          <w:sz w:val="22"/>
          <w:szCs w:val="22"/>
        </w:rPr>
      </w:pPr>
      <w:r w:rsidRPr="00491E54">
        <w:rPr>
          <w:rFonts w:ascii="Arial" w:hAnsi="Arial" w:cs="Arial"/>
          <w:b/>
          <w:iCs/>
          <w:color w:val="1E35BF"/>
          <w:sz w:val="22"/>
          <w:szCs w:val="22"/>
        </w:rPr>
        <w:lastRenderedPageBreak/>
        <w:t>Civil nuclear risks</w:t>
      </w:r>
    </w:p>
    <w:p w14:paraId="17C21491" w14:textId="77777777" w:rsidR="00491E54" w:rsidRPr="00491E54" w:rsidRDefault="00491E54" w:rsidP="00491E54">
      <w:pPr>
        <w:tabs>
          <w:tab w:val="right" w:pos="5897"/>
        </w:tabs>
        <w:spacing w:line="240" w:lineRule="atLeast"/>
        <w:rPr>
          <w:rFonts w:ascii="Arial" w:hAnsi="Arial" w:cs="Arial"/>
          <w:iCs/>
          <w:sz w:val="18"/>
          <w:szCs w:val="18"/>
        </w:rPr>
      </w:pPr>
    </w:p>
    <w:p w14:paraId="0B9BB634" w14:textId="6A137AF0" w:rsidR="00491E54" w:rsidRPr="00491E54" w:rsidRDefault="00491E54" w:rsidP="00491E54">
      <w:pPr>
        <w:tabs>
          <w:tab w:val="right" w:pos="5897"/>
        </w:tabs>
        <w:spacing w:line="240" w:lineRule="atLeast"/>
        <w:rPr>
          <w:rFonts w:ascii="Arial" w:hAnsi="Arial" w:cs="Arial"/>
          <w:iCs/>
          <w:sz w:val="18"/>
          <w:szCs w:val="18"/>
        </w:rPr>
      </w:pPr>
      <w:r w:rsidRPr="00491E54">
        <w:rPr>
          <w:rFonts w:ascii="Arial" w:hAnsi="Arial" w:cs="Arial"/>
          <w:iCs/>
          <w:sz w:val="18"/>
          <w:szCs w:val="18"/>
        </w:rPr>
        <w:t xml:space="preserve">The restrictions on NCBR coverage, as noted above, only apply to the use of NCBR material as weapons. Accordingly, the requirements do not apply to the underwriting of civil nuclear </w:t>
      </w:r>
      <w:r w:rsidR="00896B22">
        <w:rPr>
          <w:rFonts w:ascii="Arial" w:hAnsi="Arial" w:cs="Arial"/>
          <w:iCs/>
          <w:sz w:val="18"/>
          <w:szCs w:val="18"/>
        </w:rPr>
        <w:t>risks</w:t>
      </w:r>
      <w:r w:rsidRPr="00491E54">
        <w:rPr>
          <w:rFonts w:ascii="Arial" w:hAnsi="Arial" w:cs="Arial"/>
          <w:iCs/>
          <w:sz w:val="18"/>
          <w:szCs w:val="18"/>
        </w:rPr>
        <w:t>. This business currently forms a discrete specialist class the underwriting of which is agreed in the business plan process. Managing agents underwriting this class should nevertheless satisfy themselves that the exposure generated by participation in the pools, reinsurance of pools and industry mutuals, when aggregated with ancillary coverages such as personal accident catastrophe reinsurance of life companies, falls within their business plans.</w:t>
      </w:r>
    </w:p>
    <w:p w14:paraId="63E53FF0" w14:textId="77777777" w:rsidR="008E0C14" w:rsidRPr="00491E54" w:rsidRDefault="008E0C14" w:rsidP="00491E54">
      <w:pPr>
        <w:tabs>
          <w:tab w:val="right" w:pos="5897"/>
        </w:tabs>
        <w:spacing w:line="240" w:lineRule="atLeast"/>
        <w:rPr>
          <w:rFonts w:ascii="Arial" w:hAnsi="Arial" w:cs="Arial"/>
          <w:iCs/>
          <w:sz w:val="18"/>
          <w:szCs w:val="18"/>
        </w:rPr>
      </w:pPr>
    </w:p>
    <w:p w14:paraId="568D8E97" w14:textId="77777777" w:rsidR="00491E54" w:rsidRPr="00491E54" w:rsidRDefault="00491E54" w:rsidP="00491E54">
      <w:pPr>
        <w:tabs>
          <w:tab w:val="right" w:pos="5897"/>
        </w:tabs>
        <w:spacing w:line="240" w:lineRule="atLeast"/>
        <w:rPr>
          <w:rFonts w:ascii="Arial" w:hAnsi="Arial" w:cs="Arial"/>
          <w:iCs/>
          <w:sz w:val="18"/>
          <w:szCs w:val="18"/>
        </w:rPr>
      </w:pPr>
    </w:p>
    <w:p w14:paraId="0FA41964" w14:textId="08603B75" w:rsidR="00491E54" w:rsidRPr="00491E54" w:rsidRDefault="76E951A6" w:rsidP="001A55A3">
      <w:pPr>
        <w:pStyle w:val="Heading3"/>
      </w:pPr>
      <w:bookmarkStart w:id="27" w:name="_Toc236925693"/>
      <w:r>
        <w:t>Credit</w:t>
      </w:r>
      <w:bookmarkEnd w:id="27"/>
      <w:r>
        <w:t xml:space="preserve"> </w:t>
      </w:r>
    </w:p>
    <w:p w14:paraId="256EBF56" w14:textId="77777777" w:rsidR="00491E54" w:rsidRPr="00BF7B23" w:rsidRDefault="00491E54" w:rsidP="00491E54">
      <w:pPr>
        <w:tabs>
          <w:tab w:val="right" w:pos="5897"/>
        </w:tabs>
        <w:spacing w:line="240" w:lineRule="atLeast"/>
        <w:rPr>
          <w:rFonts w:ascii="Arial" w:hAnsi="Arial" w:cs="Arial"/>
          <w:iCs/>
          <w:color w:val="002060"/>
          <w:sz w:val="18"/>
          <w:szCs w:val="18"/>
        </w:rPr>
      </w:pPr>
    </w:p>
    <w:p w14:paraId="43162C5B" w14:textId="452DD886" w:rsidR="00765B4B" w:rsidRPr="00491D33" w:rsidRDefault="00765B4B" w:rsidP="00765B4B">
      <w:pPr>
        <w:tabs>
          <w:tab w:val="right" w:pos="5897"/>
        </w:tabs>
        <w:spacing w:line="240" w:lineRule="atLeast"/>
        <w:rPr>
          <w:rFonts w:asciiTheme="minorBidi" w:hAnsiTheme="minorBidi" w:cstheme="minorBidi"/>
        </w:rPr>
      </w:pPr>
      <w:r w:rsidRPr="00491D33">
        <w:rPr>
          <w:rFonts w:asciiTheme="minorBidi" w:hAnsiTheme="minorBidi" w:cstheme="minorBidi"/>
          <w:sz w:val="18"/>
          <w:szCs w:val="18"/>
        </w:rPr>
        <w:t xml:space="preserve">Lloyd’s has implemented a comprehensive framework to enhance Credit risk oversight in response to market evolution, including ensuring appropriate capitalisation and sound expertise. This can be viewed in Market Bulletin </w:t>
      </w:r>
      <w:hyperlink r:id="rId21" w:history="1">
        <w:r w:rsidRPr="002755F0">
          <w:rPr>
            <w:rStyle w:val="Hyperlink"/>
            <w:rFonts w:asciiTheme="minorBidi" w:hAnsiTheme="minorBidi" w:cstheme="minorBidi"/>
            <w:sz w:val="18"/>
            <w:szCs w:val="18"/>
          </w:rPr>
          <w:t>Y5487</w:t>
        </w:r>
      </w:hyperlink>
      <w:r w:rsidRPr="00491D33">
        <w:rPr>
          <w:rFonts w:asciiTheme="minorBidi" w:hAnsiTheme="minorBidi" w:cstheme="minorBidi"/>
          <w:sz w:val="18"/>
          <w:szCs w:val="18"/>
        </w:rPr>
        <w:t>. Lloyd’s has also taken this opportunity to review the guidance and requirements related to each of Lloyd’s Credit suite of products.</w:t>
      </w:r>
    </w:p>
    <w:p w14:paraId="44B07EF8" w14:textId="77777777" w:rsidR="00765B4B" w:rsidRPr="00491D33" w:rsidRDefault="00765B4B" w:rsidP="00765B4B">
      <w:pPr>
        <w:tabs>
          <w:tab w:val="right" w:pos="5897"/>
        </w:tabs>
        <w:spacing w:line="240" w:lineRule="atLeast"/>
        <w:rPr>
          <w:rFonts w:asciiTheme="minorBidi" w:hAnsiTheme="minorBidi" w:cstheme="minorBidi"/>
          <w:sz w:val="18"/>
          <w:szCs w:val="18"/>
        </w:rPr>
      </w:pPr>
    </w:p>
    <w:p w14:paraId="4203B6C0" w14:textId="02A8259E" w:rsidR="00765B4B" w:rsidRPr="00491D33" w:rsidRDefault="00765B4B" w:rsidP="00765B4B">
      <w:pPr>
        <w:tabs>
          <w:tab w:val="right" w:pos="5897"/>
        </w:tabs>
        <w:spacing w:line="240" w:lineRule="atLeast"/>
        <w:rPr>
          <w:rFonts w:asciiTheme="minorBidi" w:hAnsiTheme="minorBidi" w:cstheme="minorBidi"/>
          <w:sz w:val="18"/>
          <w:szCs w:val="18"/>
        </w:rPr>
      </w:pPr>
      <w:r w:rsidRPr="00491D33">
        <w:rPr>
          <w:rFonts w:asciiTheme="minorBidi" w:hAnsiTheme="minorBidi" w:cstheme="minorBidi"/>
          <w:sz w:val="18"/>
          <w:szCs w:val="18"/>
        </w:rPr>
        <w:t>The current requirements for writing Credit can be found in Market Bulletin Y</w:t>
      </w:r>
      <w:r w:rsidR="006A2F90">
        <w:rPr>
          <w:rFonts w:asciiTheme="minorBidi" w:hAnsiTheme="minorBidi" w:cstheme="minorBidi"/>
          <w:sz w:val="18"/>
          <w:szCs w:val="18"/>
        </w:rPr>
        <w:t>5487</w:t>
      </w:r>
      <w:r w:rsidRPr="00491D33">
        <w:rPr>
          <w:rFonts w:asciiTheme="minorBidi" w:hAnsiTheme="minorBidi" w:cstheme="minorBidi"/>
          <w:sz w:val="18"/>
          <w:szCs w:val="18"/>
        </w:rPr>
        <w:t xml:space="preserve">. The provisions of Market Bulletin </w:t>
      </w:r>
      <w:r w:rsidR="006A2F90" w:rsidRPr="00491D33">
        <w:rPr>
          <w:rFonts w:asciiTheme="minorBidi" w:hAnsiTheme="minorBidi" w:cstheme="minorBidi"/>
          <w:sz w:val="18"/>
          <w:szCs w:val="18"/>
        </w:rPr>
        <w:t>Y</w:t>
      </w:r>
      <w:r w:rsidR="006A2F90">
        <w:rPr>
          <w:rFonts w:asciiTheme="minorBidi" w:hAnsiTheme="minorBidi" w:cstheme="minorBidi"/>
          <w:sz w:val="18"/>
          <w:szCs w:val="18"/>
        </w:rPr>
        <w:t>5487</w:t>
      </w:r>
      <w:r w:rsidR="006A2F90">
        <w:rPr>
          <w:rFonts w:asciiTheme="minorBidi" w:hAnsiTheme="minorBidi" w:cstheme="minorBidi"/>
          <w:sz w:val="18"/>
          <w:szCs w:val="18"/>
        </w:rPr>
        <w:t xml:space="preserve"> </w:t>
      </w:r>
      <w:r w:rsidRPr="00491D33">
        <w:rPr>
          <w:rFonts w:asciiTheme="minorBidi" w:hAnsiTheme="minorBidi" w:cstheme="minorBidi"/>
          <w:sz w:val="18"/>
          <w:szCs w:val="18"/>
        </w:rPr>
        <w:t>supersede the provisions of previous versions of this document as well as Market Bulletin Y5191.</w:t>
      </w:r>
    </w:p>
    <w:p w14:paraId="0823AFAE" w14:textId="32149CAE" w:rsidR="1052236A" w:rsidRPr="00BF7B23" w:rsidRDefault="1052236A" w:rsidP="1052236A">
      <w:pPr>
        <w:tabs>
          <w:tab w:val="right" w:pos="5897"/>
        </w:tabs>
        <w:spacing w:line="240" w:lineRule="atLeast"/>
        <w:rPr>
          <w:rFonts w:ascii="Arial" w:hAnsi="Arial" w:cs="Arial"/>
          <w:sz w:val="18"/>
          <w:szCs w:val="18"/>
        </w:rPr>
      </w:pPr>
    </w:p>
    <w:p w14:paraId="30AD1252" w14:textId="77777777" w:rsidR="00491E54" w:rsidRPr="00491E54" w:rsidRDefault="00491E54" w:rsidP="001A55A3">
      <w:pPr>
        <w:pStyle w:val="Heading3"/>
      </w:pPr>
      <w:bookmarkStart w:id="28" w:name="_Toc236925694"/>
      <w:r w:rsidRPr="00491E54">
        <w:t>Viatical &amp; Life Settlements</w:t>
      </w:r>
      <w:bookmarkEnd w:id="28"/>
    </w:p>
    <w:p w14:paraId="0BA8D874" w14:textId="77777777" w:rsidR="003F0CD6" w:rsidRPr="003F0CD6" w:rsidRDefault="003F0CD6" w:rsidP="003F0CD6">
      <w:pPr>
        <w:pStyle w:val="BodyText"/>
      </w:pPr>
    </w:p>
    <w:p w14:paraId="7AA4B438"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Viatical/Life Settlements is a class that has been identified by Lloyd’s as posing potentially a reputational risk to Lloyd’s.</w:t>
      </w:r>
    </w:p>
    <w:p w14:paraId="1BA2BFC8"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Therefore, no syndicate should write this class without prior agreement by Lloyd’s.  Lloyd’s will require full details of the managing agent’s proposals for writing this class before approval will be given.  In particular, managing agents should be able to provide the following information:</w:t>
      </w:r>
    </w:p>
    <w:p w14:paraId="4DA423D0"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How the managing agent will manage the potential reputational risks to Lloyd’s;</w:t>
      </w:r>
    </w:p>
    <w:p w14:paraId="2CFEB955"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The underwriting process used to write the business, including the methodology used to price the business;</w:t>
      </w:r>
    </w:p>
    <w:p w14:paraId="4318B264"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The methodology used to reserve for the business, including controls used to manage the long-tail effects of the business;</w:t>
      </w:r>
    </w:p>
    <w:p w14:paraId="25808F3B"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The process used for the handling of claims;</w:t>
      </w:r>
    </w:p>
    <w:p w14:paraId="5003894C"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The operational controls in place to manage the business.</w:t>
      </w:r>
    </w:p>
    <w:p w14:paraId="32B711A9" w14:textId="77777777" w:rsidR="00491E54" w:rsidRPr="006C2654" w:rsidRDefault="00491E54" w:rsidP="00D23534">
      <w:pPr>
        <w:pStyle w:val="ListParagraph"/>
        <w:numPr>
          <w:ilvl w:val="0"/>
          <w:numId w:val="60"/>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An explanation of the products offered; and</w:t>
      </w:r>
    </w:p>
    <w:p w14:paraId="48F757F9" w14:textId="26F3432B" w:rsidR="00491E54" w:rsidRPr="00BF7B23" w:rsidRDefault="00491E54" w:rsidP="00BF7B23">
      <w:pPr>
        <w:pStyle w:val="ListParagraph"/>
        <w:numPr>
          <w:ilvl w:val="0"/>
          <w:numId w:val="60"/>
        </w:numPr>
        <w:tabs>
          <w:tab w:val="num" w:pos="142"/>
          <w:tab w:val="num" w:pos="332"/>
          <w:tab w:val="right" w:pos="9582"/>
        </w:tabs>
        <w:spacing w:after="240" w:line="240" w:lineRule="atLeast"/>
        <w:rPr>
          <w:rFonts w:ascii="Arial" w:hAnsi="Arial"/>
          <w:sz w:val="18"/>
          <w:szCs w:val="18"/>
        </w:rPr>
      </w:pPr>
      <w:r w:rsidRPr="006C2654">
        <w:rPr>
          <w:rFonts w:ascii="Arial" w:hAnsi="Arial"/>
          <w:sz w:val="18"/>
          <w:szCs w:val="18"/>
        </w:rPr>
        <w:t>Details of the experience of the underwriter and support staff.</w:t>
      </w:r>
      <w:r w:rsidR="00934026">
        <w:rPr>
          <w:rFonts w:ascii="Arial" w:hAnsi="Arial"/>
          <w:sz w:val="18"/>
          <w:szCs w:val="18"/>
        </w:rPr>
        <w:br/>
      </w:r>
    </w:p>
    <w:p w14:paraId="53F6B902" w14:textId="77777777" w:rsidR="00491E54" w:rsidRPr="00491E54" w:rsidRDefault="00491E54" w:rsidP="001A55A3">
      <w:pPr>
        <w:pStyle w:val="Heading3"/>
      </w:pPr>
      <w:bookmarkStart w:id="29" w:name="_Toc236925695"/>
      <w:r w:rsidRPr="00491E54">
        <w:t>Retrospective Reinsurance</w:t>
      </w:r>
      <w:bookmarkEnd w:id="29"/>
    </w:p>
    <w:p w14:paraId="2DFDD13E" w14:textId="77777777" w:rsidR="00902D22" w:rsidRPr="00902D22" w:rsidRDefault="00902D22" w:rsidP="00902D22">
      <w:pPr>
        <w:pStyle w:val="BodyText"/>
      </w:pPr>
    </w:p>
    <w:p w14:paraId="3B245B7E"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The writing of retrospective reinsurance includes the writing of run-off covers, stop loss policies, adverse development covers, portfolio transfers and all similar arrangements.  Such policies may be written in respect of whole books of business or to cover particular risks.  Their common feature is that the reinsurance provides retrospective cover, covering business that has already been written by the reinsured and where losses may already be developing.  The purpose of the reinsurance is to cap or take over entirely the liabilities of the reinsured in respect of the developing losses.  </w:t>
      </w:r>
    </w:p>
    <w:p w14:paraId="7CD6BB79"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Although not reinsurance, Part VII Transfers are for these purposes considered to be equivalent to retrospective reinsurance.</w:t>
      </w:r>
    </w:p>
    <w:p w14:paraId="54E314D4"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 Lloyd’s market is primarily a market for writing live risks and prudential concerns can arise where Lloyd’s syndicates write retrospective reinsurance of company market risks.  The writing of retrospective reinsurance can involve taking on very large exposures in circumstances where it can be difficult to assess the underlying risks either due to poor records or other uncertainties.  These issues can make it difficult for Lloyd’s to assess whether syndicates have the necessary competencies to take on the business and whether the business is being appropriately priced and reserved.</w:t>
      </w:r>
    </w:p>
    <w:p w14:paraId="26A2FD3B"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Retrospective reinsurance also exposes the Central Fund to risks that were not written in the Lloyd’s market.</w:t>
      </w:r>
    </w:p>
    <w:p w14:paraId="55D98FB5"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lastRenderedPageBreak/>
        <w:t>Lloyd’s does not believe that it will ordinarily be prudent to write retrospective reinsurance into the Lloyd’s market.  Given the concerns involved, Lloyd’s considers that it is appropriate to require that any managing agent that wishes to provide retrospective reinsurance for non-Lloyd’s business should first obtain the agreement of Lloyd’s for each retrospective reinsurance contract that it proposes to write.</w:t>
      </w:r>
    </w:p>
    <w:p w14:paraId="20060941" w14:textId="5CC451B4" w:rsidR="00491E54" w:rsidRPr="00491E54" w:rsidRDefault="00491E54" w:rsidP="006C2654">
      <w:pPr>
        <w:tabs>
          <w:tab w:val="right" w:pos="5897"/>
        </w:tabs>
        <w:spacing w:after="240" w:line="240" w:lineRule="atLeast"/>
        <w:rPr>
          <w:rFonts w:ascii="Arial" w:hAnsi="Arial"/>
          <w:sz w:val="18"/>
          <w:szCs w:val="18"/>
        </w:rPr>
      </w:pPr>
      <w:r w:rsidRPr="00491E54">
        <w:rPr>
          <w:rFonts w:ascii="Arial" w:hAnsi="Arial"/>
          <w:sz w:val="18"/>
          <w:szCs w:val="18"/>
        </w:rPr>
        <w:t>This section does not apply to the writing of RITC or the reinsurance of portfolios in run-off within the Lloyd’s market, which are subject to separate requirements.</w:t>
      </w:r>
    </w:p>
    <w:p w14:paraId="229DC261" w14:textId="77777777" w:rsidR="00491E54" w:rsidRPr="00491E54" w:rsidRDefault="00491E54" w:rsidP="001A55A3">
      <w:pPr>
        <w:pStyle w:val="Heading3"/>
      </w:pPr>
      <w:bookmarkStart w:id="30" w:name="_Toc236925696"/>
      <w:r w:rsidRPr="00491E54">
        <w:t>US and Canadian Cannabis Risks</w:t>
      </w:r>
      <w:bookmarkEnd w:id="30"/>
    </w:p>
    <w:p w14:paraId="1173E7BA" w14:textId="77777777" w:rsidR="00502745" w:rsidRPr="00502745" w:rsidRDefault="00502745" w:rsidP="00502745">
      <w:pPr>
        <w:pStyle w:val="BodyText"/>
      </w:pPr>
    </w:p>
    <w:p w14:paraId="1936CCD2"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 guidance in this section applies to cannabis related business in the US and Canada only.  The writing of such business outside of the US and Canada will require managing agents to consider the application of the laws and regulations as they apply in the relevant territory.</w:t>
      </w:r>
    </w:p>
    <w:p w14:paraId="665C5600" w14:textId="77777777" w:rsidR="00491E54" w:rsidRPr="00491E54" w:rsidRDefault="00491E54" w:rsidP="00491E54">
      <w:pPr>
        <w:keepNext/>
        <w:tabs>
          <w:tab w:val="right" w:pos="5897"/>
        </w:tabs>
        <w:spacing w:after="240" w:line="240" w:lineRule="atLeast"/>
        <w:rPr>
          <w:rFonts w:ascii="Arial" w:hAnsi="Arial"/>
          <w:b/>
          <w:bCs/>
          <w:color w:val="1E35BF"/>
          <w:sz w:val="22"/>
          <w:szCs w:val="22"/>
        </w:rPr>
      </w:pPr>
      <w:r w:rsidRPr="00491E54">
        <w:rPr>
          <w:rFonts w:ascii="Arial" w:hAnsi="Arial"/>
          <w:b/>
          <w:bCs/>
          <w:color w:val="1E35BF"/>
          <w:sz w:val="22"/>
          <w:szCs w:val="22"/>
        </w:rPr>
        <w:t>US Cannabis and Hemp Risks</w:t>
      </w:r>
    </w:p>
    <w:p w14:paraId="7F5C234D" w14:textId="77777777" w:rsidR="00491E54" w:rsidRPr="00491E54" w:rsidRDefault="00491E54" w:rsidP="00491E54">
      <w:pPr>
        <w:keepNext/>
        <w:tabs>
          <w:tab w:val="right" w:pos="5897"/>
        </w:tabs>
        <w:spacing w:after="240" w:line="240" w:lineRule="atLeast"/>
        <w:rPr>
          <w:rFonts w:ascii="Arial" w:hAnsi="Arial"/>
          <w:b/>
          <w:sz w:val="18"/>
          <w:szCs w:val="18"/>
        </w:rPr>
      </w:pPr>
      <w:r w:rsidRPr="00491E54">
        <w:rPr>
          <w:rFonts w:ascii="Arial" w:hAnsi="Arial"/>
          <w:b/>
          <w:sz w:val="18"/>
          <w:szCs w:val="18"/>
        </w:rPr>
        <w:t>Cannabis Risks</w:t>
      </w:r>
    </w:p>
    <w:p w14:paraId="0CC330FE"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Currently, cannabis is listed as a Schedule 1 drug under US federal Controlled Substances Act, which means that it is not legal for sale.  In addition, cash generated from the sale of cannabis may implicate federal Anti-Money Laundering laws. Nevertheless, a number of states have passed laws that permit the sale of cannabis for medicinal purposes and additionally a smaller number allow its sale for recreational purposes.  </w:t>
      </w:r>
    </w:p>
    <w:p w14:paraId="373B4908"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Based upon a thorough review of all positions, unless and until the sale of either medicinal or recreational cannabis is formally recognized by the Federal government as legal (as opposed to subject to non-enforcement directives), underwriters should not insure such operations in any form (including crop, property, or liability cover for those who grow, distribute or sell any form of cannabis or cover for the provision of banking or related services to these operations) in the United States.  </w:t>
      </w:r>
    </w:p>
    <w:p w14:paraId="786D79B1"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Coverage may be provided to non-cannabis-related businesses with incidental cannabis exposures (e.g. a pharmacy or physician where a small amount of their business may include cannabis products or prescriptions) although, losses arising from such exposures should, where possible, be excluded from cover.</w:t>
      </w:r>
    </w:p>
    <w:p w14:paraId="1AE26793"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Lloyd’s will continue to monitor developments under US law and will reconsider this position if and when the conflict of laws is resolved.</w:t>
      </w:r>
    </w:p>
    <w:p w14:paraId="7AAC3802" w14:textId="3D2D4C82" w:rsidR="00491E54" w:rsidRPr="00491E54" w:rsidRDefault="00491E54" w:rsidP="00491E54">
      <w:pPr>
        <w:tabs>
          <w:tab w:val="right" w:pos="5897"/>
        </w:tabs>
        <w:spacing w:after="240" w:line="240" w:lineRule="atLeast"/>
        <w:rPr>
          <w:rFonts w:ascii="Arial" w:hAnsi="Arial"/>
          <w:b/>
          <w:sz w:val="18"/>
          <w:szCs w:val="18"/>
        </w:rPr>
      </w:pPr>
      <w:r w:rsidRPr="00491E54">
        <w:rPr>
          <w:rFonts w:ascii="Arial" w:hAnsi="Arial"/>
          <w:b/>
          <w:sz w:val="18"/>
          <w:szCs w:val="18"/>
        </w:rPr>
        <w:t>Hemp Risks</w:t>
      </w:r>
    </w:p>
    <w:p w14:paraId="3BED9B1D"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 Agricultural Improvement Act of 2018 (the ‘Act’) – popularly known as the ‘Farm Bill’ – among other matters legalises industrial hemp. The Act reclassifies hemp to distinguish it from cannabis, affirms the legitimacy of hemp research, and establishes a framework for state and federal regulation of hemp production.</w:t>
      </w:r>
    </w:p>
    <w:p w14:paraId="25648114"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 xml:space="preserve">Section 10113 of the Act amends section 297A of the US Agricultural Marketing Act of 1946 to define ‘hemp’ as: </w:t>
      </w:r>
    </w:p>
    <w:p w14:paraId="1BB89211" w14:textId="77777777" w:rsidR="00491E54" w:rsidRPr="00491E54" w:rsidRDefault="00491E54" w:rsidP="00491E54">
      <w:pPr>
        <w:tabs>
          <w:tab w:val="right" w:pos="5897"/>
        </w:tabs>
        <w:spacing w:after="240" w:line="240" w:lineRule="atLeast"/>
        <w:ind w:left="142"/>
        <w:rPr>
          <w:rFonts w:ascii="Arial" w:hAnsi="Arial"/>
          <w:i/>
          <w:sz w:val="18"/>
          <w:szCs w:val="18"/>
        </w:rPr>
      </w:pPr>
      <w:r w:rsidRPr="00491E54">
        <w:rPr>
          <w:rFonts w:ascii="Arial" w:hAnsi="Arial"/>
          <w:i/>
          <w:sz w:val="18"/>
          <w:szCs w:val="18"/>
        </w:rPr>
        <w:t>“the plant Cannabis sativa L. and any part of that plant, including the seeds thereof and all derivatives, extracts, cannabinoids, isomers, acids, salts, and salts of isomers, whether growing or not, with a delta-9 tetrahydrocannabinol concentration of not more than 0.3 percent on a dry weight basis.”</w:t>
      </w:r>
    </w:p>
    <w:p w14:paraId="12C859B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Section 12619 of the Act amends the US Controlled Substances Act (CSA) to exclude hemp – as defined above under the Agricultural Marketing Act – from the definition of cannabis.  In addition, the section excludes tetrahydrocannabinols (THC) found in hemp from the listing of THC in Schedule I of the CSA.</w:t>
      </w:r>
    </w:p>
    <w:p w14:paraId="2B2581AA"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Hemp is legal within the US and may be underwritten at Lloyd’s.  Syndicates underwriting US hemp related risks should be mindful, however, that the Act’s relaxation of federal law does not equate to a complete deregulation of hemp.  Further, some states’ laws may be more restrictive than the federal CSA. Underwriters should therefore take steps to remain informed of the development of regulations in this area and ensure that any risks written conform to state and federal laws - this would include verifying that any applicable state or federal regulatory approvals have been acquired.</w:t>
      </w:r>
    </w:p>
    <w:p w14:paraId="58EC3098" w14:textId="77777777" w:rsidR="00491E54" w:rsidRPr="00491E54" w:rsidRDefault="00491E54" w:rsidP="00491E54">
      <w:pPr>
        <w:keepNext/>
        <w:tabs>
          <w:tab w:val="right" w:pos="5897"/>
        </w:tabs>
        <w:spacing w:after="240" w:line="240" w:lineRule="atLeast"/>
        <w:rPr>
          <w:rFonts w:ascii="Arial" w:hAnsi="Arial"/>
          <w:b/>
          <w:bCs/>
          <w:color w:val="1E35BF"/>
          <w:sz w:val="22"/>
          <w:szCs w:val="22"/>
        </w:rPr>
      </w:pPr>
      <w:r w:rsidRPr="00491E54">
        <w:rPr>
          <w:rFonts w:ascii="Arial" w:hAnsi="Arial"/>
          <w:b/>
          <w:bCs/>
          <w:color w:val="1E35BF"/>
          <w:sz w:val="22"/>
          <w:szCs w:val="22"/>
        </w:rPr>
        <w:lastRenderedPageBreak/>
        <w:t>Canadian Cannabis Risks</w:t>
      </w:r>
    </w:p>
    <w:p w14:paraId="78112F40"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The Canadian Cannabis Act makes it legal in Canada to produce, distribute, sell and possess cannabis, subject to compliance with the provisions of that Act.  Lloyd’s is satisfied that, if properly done, Lloyd’s underwriters are well positioned to write Canadian cannabis business subject to compliance with local Canadian requirements.</w:t>
      </w:r>
    </w:p>
    <w:p w14:paraId="464EAA01"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However, as cannabis remains a Class B drug in the UK, Lloyd’s has considered whether Part 7 of the Proceeds of Crime Act 2002 (POCA) is engaged by underwriters providing insurance cover in Canada. In particular, it is recognised by Lloyd’s that by reason of a combination of section 328(3), 329(2) and 340 POCA, sections 4, 6, and 37 Misuse of Drugs Act 1971, the production etc. of cannabis in Canada could be said to be “</w:t>
      </w:r>
      <w:r w:rsidRPr="00491E54">
        <w:rPr>
          <w:rFonts w:ascii="Arial" w:hAnsi="Arial"/>
          <w:i/>
          <w:sz w:val="18"/>
          <w:szCs w:val="18"/>
        </w:rPr>
        <w:t>proscribed conduct</w:t>
      </w:r>
      <w:r w:rsidRPr="00491E54">
        <w:rPr>
          <w:rFonts w:ascii="Arial" w:hAnsi="Arial"/>
          <w:sz w:val="18"/>
          <w:szCs w:val="18"/>
        </w:rPr>
        <w:t>” under POCA. This raises the question whether providing cannabis related insurance could result in an offence under section 328 POCA, notwithstanding that the underlying risks have been legalised in Canada.</w:t>
      </w:r>
    </w:p>
    <w:p w14:paraId="52DCB6AA"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Having taken advice from specialist Leading and Junior Counsel, Lloyd’s is satisfied that:</w:t>
      </w:r>
    </w:p>
    <w:p w14:paraId="1F850DCD" w14:textId="77777777" w:rsidR="006C2654" w:rsidRDefault="00491E54" w:rsidP="00D23534">
      <w:pPr>
        <w:pStyle w:val="ListParagraph"/>
        <w:numPr>
          <w:ilvl w:val="0"/>
          <w:numId w:val="61"/>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Providing insurance for Canadian cannabis risks would not amount, in the circumstances under consideration, to entering into, or becoming concerned in, an arrangement which facilitates the acquisition, retention, use or control of criminal property by another person thereby breaching section 328 POCA.</w:t>
      </w:r>
    </w:p>
    <w:p w14:paraId="5E9F0CFD" w14:textId="77777777" w:rsidR="006C2654" w:rsidRDefault="00491E54" w:rsidP="00D23534">
      <w:pPr>
        <w:pStyle w:val="ListParagraph"/>
        <w:numPr>
          <w:ilvl w:val="0"/>
          <w:numId w:val="61"/>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That neither POCA – nor any of its statutory predecessors – was designed to bring wholly lawful conduct such as the provision of insurance of business activity carefully legalised in another country, into its scope.</w:t>
      </w:r>
    </w:p>
    <w:p w14:paraId="4676F964" w14:textId="0D9D1799" w:rsidR="00491E54" w:rsidRPr="006C2654" w:rsidRDefault="00491E54" w:rsidP="00D23534">
      <w:pPr>
        <w:pStyle w:val="ListParagraph"/>
        <w:numPr>
          <w:ilvl w:val="0"/>
          <w:numId w:val="61"/>
        </w:numPr>
        <w:tabs>
          <w:tab w:val="num" w:pos="142"/>
          <w:tab w:val="num" w:pos="332"/>
          <w:tab w:val="right" w:pos="9582"/>
        </w:tabs>
        <w:spacing w:line="240" w:lineRule="atLeast"/>
        <w:rPr>
          <w:rFonts w:ascii="Arial" w:hAnsi="Arial"/>
          <w:sz w:val="18"/>
          <w:szCs w:val="18"/>
        </w:rPr>
      </w:pPr>
      <w:r w:rsidRPr="006C2654">
        <w:rPr>
          <w:rFonts w:ascii="Arial" w:hAnsi="Arial"/>
          <w:sz w:val="18"/>
          <w:szCs w:val="18"/>
        </w:rPr>
        <w:t>This view is consistent with the Explanatory Notes to POCA, including for example paragraph 6 which states that the statute’s purpose was to criminalise money laundering in its broadest form which “is the process by which the proceeds of crime are converted into assets which appear to have a legitimate origin so that they can be retained permanently or recycled into further criminal enterprises” – this is far removed from Lloyd’s underwriters openly and properly providing businesses in Canada with insurance against a conventionally covered ascertainable external event.</w:t>
      </w:r>
    </w:p>
    <w:p w14:paraId="5D4A4180" w14:textId="77777777" w:rsidR="00491E54" w:rsidRPr="00491E54" w:rsidRDefault="00491E54" w:rsidP="00491E54">
      <w:pPr>
        <w:tabs>
          <w:tab w:val="num" w:pos="596"/>
          <w:tab w:val="right" w:pos="9582"/>
        </w:tabs>
        <w:spacing w:line="240" w:lineRule="atLeast"/>
        <w:ind w:left="142" w:hanging="142"/>
        <w:rPr>
          <w:rFonts w:ascii="Arial" w:hAnsi="Arial"/>
          <w:sz w:val="18"/>
          <w:szCs w:val="18"/>
        </w:rPr>
      </w:pPr>
    </w:p>
    <w:p w14:paraId="04BFB2FB" w14:textId="77777777" w:rsidR="00491E54" w:rsidRPr="00491E54" w:rsidRDefault="00491E54" w:rsidP="00491E54">
      <w:pPr>
        <w:tabs>
          <w:tab w:val="right" w:pos="5897"/>
        </w:tabs>
        <w:spacing w:after="240" w:line="240" w:lineRule="atLeast"/>
        <w:rPr>
          <w:rFonts w:ascii="Arial" w:hAnsi="Arial"/>
          <w:sz w:val="18"/>
          <w:szCs w:val="18"/>
        </w:rPr>
      </w:pPr>
      <w:r w:rsidRPr="00491E54">
        <w:rPr>
          <w:rFonts w:ascii="Arial" w:hAnsi="Arial"/>
          <w:sz w:val="18"/>
          <w:szCs w:val="18"/>
        </w:rPr>
        <w:t>Lloyd’s will therefore consider the writing of Canadian cannabis business by syndicates at Lloyd’s as part of the usual business planning process. Managing agents will, however, be required to demonstrate an appropriate understanding of the Canadian Cannabis Act to ensure compliance with all local laws. Where necessary, and should there be any question as to the legality of accepting any particular risk, either under UK or Canadian laws, managing agents will be required to obtain appropriate legal advice.</w:t>
      </w:r>
    </w:p>
    <w:p w14:paraId="67619300" w14:textId="5AA1DD1A" w:rsidR="009B3D3D" w:rsidRPr="00BF7B23" w:rsidRDefault="00491E54" w:rsidP="00BF7B23">
      <w:pPr>
        <w:tabs>
          <w:tab w:val="right" w:pos="5897"/>
        </w:tabs>
        <w:autoSpaceDE w:val="0"/>
        <w:autoSpaceDN w:val="0"/>
        <w:adjustRightInd w:val="0"/>
        <w:spacing w:after="120" w:line="240" w:lineRule="atLeast"/>
        <w:rPr>
          <w:rFonts w:ascii="Arial" w:hAnsi="Arial" w:cs="Arial"/>
          <w:sz w:val="18"/>
          <w:szCs w:val="18"/>
        </w:rPr>
      </w:pPr>
      <w:r w:rsidRPr="00491E54">
        <w:rPr>
          <w:rFonts w:ascii="Arial" w:hAnsi="Arial"/>
          <w:sz w:val="18"/>
          <w:szCs w:val="18"/>
        </w:rPr>
        <w:t>Particularly in view of the proximity of the USA to Canada and the potential to write cross-border exposures, it is important that managing agents ensure that any cannabis risks have Canadian risk location only.</w:t>
      </w:r>
    </w:p>
    <w:sectPr w:rsidR="009B3D3D" w:rsidRPr="00BF7B23" w:rsidSect="00491E54">
      <w:footerReference w:type="default" r:id="rId22"/>
      <w:pgSz w:w="11907" w:h="16840" w:code="9"/>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1EB8" w14:textId="77777777" w:rsidR="00367888" w:rsidRDefault="00367888" w:rsidP="007F67B4">
      <w:r>
        <w:separator/>
      </w:r>
    </w:p>
  </w:endnote>
  <w:endnote w:type="continuationSeparator" w:id="0">
    <w:p w14:paraId="5753CAC9" w14:textId="77777777" w:rsidR="00367888" w:rsidRDefault="00367888" w:rsidP="007F67B4">
      <w:r>
        <w:continuationSeparator/>
      </w:r>
    </w:p>
  </w:endnote>
  <w:endnote w:type="continuationNotice" w:id="1">
    <w:p w14:paraId="002BDD14" w14:textId="77777777" w:rsidR="00367888" w:rsidRDefault="00367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quot;Arial&quot;,sans-serif">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ansa Lloyds">
    <w:altName w:val="Calibri"/>
    <w:charset w:val="00"/>
    <w:family w:val="auto"/>
    <w:pitch w:val="variable"/>
    <w:sig w:usb0="80000023" w:usb1="40000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4A34" w14:textId="77777777" w:rsidR="00A552AB" w:rsidRDefault="00A552AB">
    <w:pPr>
      <w:pStyle w:val="Footer"/>
    </w:pPr>
    <w:r>
      <w:rPr>
        <w:noProof/>
      </w:rPr>
      <mc:AlternateContent>
        <mc:Choice Requires="wps">
          <w:drawing>
            <wp:anchor distT="0" distB="0" distL="114300" distR="114300" simplePos="0" relativeHeight="251658240" behindDoc="0" locked="0" layoutInCell="0" allowOverlap="1" wp14:anchorId="6FE36DD8" wp14:editId="174084E5">
              <wp:simplePos x="0" y="0"/>
              <wp:positionH relativeFrom="page">
                <wp:posOffset>0</wp:posOffset>
              </wp:positionH>
              <wp:positionV relativeFrom="page">
                <wp:posOffset>10229850</wp:posOffset>
              </wp:positionV>
              <wp:extent cx="7560945" cy="273050"/>
              <wp:effectExtent l="0" t="0" r="0" b="12700"/>
              <wp:wrapNone/>
              <wp:docPr id="14" name="MSIPCM1d3145e69df66f50e56b4f9c" descr="{&quot;HashCode&quot;:-231024771,&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2671DA" w14:textId="22C827B6" w:rsidR="00A552AB" w:rsidRPr="00880189" w:rsidRDefault="00880189" w:rsidP="00880189">
                          <w:pPr>
                            <w:jc w:val="center"/>
                            <w:rPr>
                              <w:rFonts w:ascii="Calibri" w:hAnsi="Calibri" w:cs="Calibri"/>
                              <w:color w:val="000000"/>
                              <w:sz w:val="20"/>
                            </w:rPr>
                          </w:pPr>
                          <w:r w:rsidRPr="00880189">
                            <w:rPr>
                              <w:rFonts w:ascii="Calibri" w:hAnsi="Calibri" w:cs="Calibri"/>
                              <w:color w:val="000000"/>
                              <w:sz w:val="20"/>
                            </w:rPr>
                            <w:t>Classification: 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E36DD8" id="_x0000_t202" coordsize="21600,21600" o:spt="202" path="m,l,21600r21600,l21600,xe">
              <v:stroke joinstyle="miter"/>
              <v:path gradientshapeok="t" o:connecttype="rect"/>
            </v:shapetype>
            <v:shape id="MSIPCM1d3145e69df66f50e56b4f9c" o:spid="_x0000_s1026" type="#_x0000_t202" alt="{&quot;HashCode&quot;:-231024771,&quot;Height&quot;:842.0,&quot;Width&quot;:595.0,&quot;Placement&quot;:&quot;Footer&quot;,&quot;Index&quot;:&quot;Primary&quot;,&quot;Section&quot;:3,&quot;Top&quot;:0.0,&quot;Left&quot;:0.0}" style="position:absolute;left:0;text-align:left;margin-left:0;margin-top:805.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" o:allowincell="f" filled="f" stroked="f" strokeweight=".5pt">
              <v:textbox inset=",0,,0">
                <w:txbxContent>
                  <w:p w14:paraId="7F2671DA" w14:textId="22C827B6" w:rsidR="00A552AB" w:rsidRPr="00880189" w:rsidRDefault="00880189" w:rsidP="00880189">
                    <w:pPr>
                      <w:jc w:val="center"/>
                      <w:rPr>
                        <w:rFonts w:ascii="Calibri" w:hAnsi="Calibri" w:cs="Calibri"/>
                        <w:color w:val="000000"/>
                        <w:sz w:val="20"/>
                      </w:rPr>
                    </w:pPr>
                    <w:r w:rsidRPr="00880189">
                      <w:rPr>
                        <w:rFonts w:ascii="Calibri" w:hAnsi="Calibri" w:cs="Calibri"/>
                        <w:color w:val="000000"/>
                        <w:sz w:val="20"/>
                      </w:rPr>
                      <w:t>Classification: Confidential</w:t>
                    </w:r>
                  </w:p>
                </w:txbxContent>
              </v:textbox>
              <w10:wrap anchorx="page" anchory="page"/>
            </v:shape>
          </w:pict>
        </mc:Fallback>
      </mc:AlternateContent>
    </w:r>
    <w:sdt>
      <w:sdtPr>
        <w:id w:val="-18444647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77D63A9" w14:textId="77777777" w:rsidR="00A552AB" w:rsidRDefault="00A55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E97B" w14:textId="77777777" w:rsidR="00367888" w:rsidRDefault="00367888" w:rsidP="007F67B4">
      <w:r>
        <w:separator/>
      </w:r>
    </w:p>
  </w:footnote>
  <w:footnote w:type="continuationSeparator" w:id="0">
    <w:p w14:paraId="185D6A25" w14:textId="77777777" w:rsidR="00367888" w:rsidRDefault="00367888" w:rsidP="007F67B4">
      <w:r>
        <w:continuationSeparator/>
      </w:r>
    </w:p>
  </w:footnote>
  <w:footnote w:type="continuationNotice" w:id="1">
    <w:p w14:paraId="56C0F078" w14:textId="77777777" w:rsidR="00367888" w:rsidRDefault="003678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E14A" w14:textId="77777777" w:rsidR="00491E54" w:rsidRDefault="00491E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C21442"/>
    <w:lvl w:ilvl="0">
      <w:start w:val="1"/>
      <w:numFmt w:val="bullet"/>
      <w:pStyle w:val="ListBullet3"/>
      <w:lvlText w:val="-"/>
      <w:lvlJc w:val="left"/>
      <w:pPr>
        <w:ind w:left="851" w:hanging="360"/>
      </w:pPr>
      <w:rPr>
        <w:rFonts w:ascii="Courier New" w:hAnsi="Courier New" w:hint="default"/>
        <w:sz w:val="16"/>
      </w:rPr>
    </w:lvl>
  </w:abstractNum>
  <w:abstractNum w:abstractNumId="1" w15:restartNumberingAfterBreak="0">
    <w:nsid w:val="FFFFFF83"/>
    <w:multiLevelType w:val="singleLevel"/>
    <w:tmpl w:val="02F2492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8D84B2E"/>
    <w:lvl w:ilvl="0">
      <w:start w:val="1"/>
      <w:numFmt w:val="decimal"/>
      <w:pStyle w:val="ListNumber"/>
      <w:lvlText w:val="%1)"/>
      <w:lvlJc w:val="left"/>
      <w:pPr>
        <w:ind w:left="1211" w:hanging="360"/>
      </w:pPr>
      <w:rPr>
        <w:rFonts w:ascii="Arial" w:eastAsia="Times New Roman" w:hAnsi="Arial" w:cs="Times New Roman"/>
        <w:color w:val="auto"/>
      </w:rPr>
    </w:lvl>
  </w:abstractNum>
  <w:abstractNum w:abstractNumId="3" w15:restartNumberingAfterBreak="0">
    <w:nsid w:val="FFFFFF89"/>
    <w:multiLevelType w:val="singleLevel"/>
    <w:tmpl w:val="6AF6DE34"/>
    <w:lvl w:ilvl="0">
      <w:start w:val="1"/>
      <w:numFmt w:val="bullet"/>
      <w:pStyle w:val="ListBullet"/>
      <w:lvlText w:val=""/>
      <w:lvlJc w:val="left"/>
      <w:pPr>
        <w:tabs>
          <w:tab w:val="num" w:pos="1440"/>
        </w:tabs>
        <w:ind w:left="1440" w:hanging="720"/>
      </w:pPr>
      <w:rPr>
        <w:rFonts w:ascii="Symbol" w:hAnsi="Symbol" w:hint="default"/>
      </w:rPr>
    </w:lvl>
  </w:abstractNum>
  <w:abstractNum w:abstractNumId="4" w15:restartNumberingAfterBreak="0">
    <w:nsid w:val="003C2BAC"/>
    <w:multiLevelType w:val="multilevel"/>
    <w:tmpl w:val="A55C6B84"/>
    <w:styleLink w:val="Style1"/>
    <w:lvl w:ilvl="0">
      <w:start w:val="1"/>
      <w:numFmt w:val="decimal"/>
      <w:lvlText w:val="%1"/>
      <w:lvlJc w:val="right"/>
      <w:pPr>
        <w:tabs>
          <w:tab w:val="num" w:pos="0"/>
        </w:tabs>
        <w:ind w:left="0" w:hanging="85"/>
      </w:pPr>
      <w:rPr>
        <w:rFonts w:asciiTheme="majorHAnsi" w:hAnsiTheme="majorHAnsi" w:hint="default"/>
        <w:b w:val="0"/>
        <w:i w:val="0"/>
        <w:sz w:val="32"/>
        <w:szCs w:val="32"/>
      </w:rPr>
    </w:lvl>
    <w:lvl w:ilvl="1">
      <w:start w:val="1"/>
      <w:numFmt w:val="decimal"/>
      <w:lvlText w:val="%1.%2"/>
      <w:lvlJc w:val="right"/>
      <w:pPr>
        <w:tabs>
          <w:tab w:val="num" w:pos="0"/>
        </w:tabs>
        <w:ind w:left="0" w:hanging="85"/>
      </w:pPr>
      <w:rPr>
        <w:rFonts w:hint="default"/>
      </w:rPr>
    </w:lvl>
    <w:lvl w:ilvl="2">
      <w:start w:val="1"/>
      <w:numFmt w:val="decimal"/>
      <w:lvlText w:val="%1.%2.%3"/>
      <w:lvlJc w:val="right"/>
      <w:pPr>
        <w:tabs>
          <w:tab w:val="num" w:pos="0"/>
        </w:tabs>
        <w:ind w:left="0" w:hanging="85"/>
      </w:pPr>
      <w:rPr>
        <w:rFonts w:hint="default"/>
      </w:rPr>
    </w:lvl>
    <w:lvl w:ilvl="3">
      <w:start w:val="1"/>
      <w:numFmt w:val="decimal"/>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5" w15:restartNumberingAfterBreak="0">
    <w:nsid w:val="02991CC5"/>
    <w:multiLevelType w:val="hybridMultilevel"/>
    <w:tmpl w:val="1F7E96B4"/>
    <w:lvl w:ilvl="0" w:tplc="F29604F4">
      <w:start w:val="1"/>
      <w:numFmt w:val="bullet"/>
      <w:lvlText w:val="-"/>
      <w:lvlJc w:val="left"/>
      <w:pPr>
        <w:ind w:left="720" w:hanging="360"/>
      </w:pPr>
      <w:rPr>
        <w:rFonts w:ascii="&quot;Arial&quot;,sans-serif" w:hAnsi="&quot;Arial&quot;,sans-serif" w:hint="default"/>
      </w:rPr>
    </w:lvl>
    <w:lvl w:ilvl="1" w:tplc="45B0C700">
      <w:start w:val="1"/>
      <w:numFmt w:val="bullet"/>
      <w:lvlText w:val="o"/>
      <w:lvlJc w:val="left"/>
      <w:pPr>
        <w:ind w:left="1440" w:hanging="360"/>
      </w:pPr>
      <w:rPr>
        <w:rFonts w:ascii="Courier New" w:hAnsi="Courier New" w:hint="default"/>
      </w:rPr>
    </w:lvl>
    <w:lvl w:ilvl="2" w:tplc="CFAE0394">
      <w:start w:val="1"/>
      <w:numFmt w:val="bullet"/>
      <w:lvlText w:val=""/>
      <w:lvlJc w:val="left"/>
      <w:pPr>
        <w:ind w:left="2160" w:hanging="360"/>
      </w:pPr>
      <w:rPr>
        <w:rFonts w:ascii="Wingdings" w:hAnsi="Wingdings" w:hint="default"/>
      </w:rPr>
    </w:lvl>
    <w:lvl w:ilvl="3" w:tplc="852698B0">
      <w:start w:val="1"/>
      <w:numFmt w:val="bullet"/>
      <w:lvlText w:val=""/>
      <w:lvlJc w:val="left"/>
      <w:pPr>
        <w:ind w:left="2880" w:hanging="360"/>
      </w:pPr>
      <w:rPr>
        <w:rFonts w:ascii="Symbol" w:hAnsi="Symbol" w:hint="default"/>
      </w:rPr>
    </w:lvl>
    <w:lvl w:ilvl="4" w:tplc="3B3AA640">
      <w:start w:val="1"/>
      <w:numFmt w:val="bullet"/>
      <w:lvlText w:val="o"/>
      <w:lvlJc w:val="left"/>
      <w:pPr>
        <w:ind w:left="3600" w:hanging="360"/>
      </w:pPr>
      <w:rPr>
        <w:rFonts w:ascii="Courier New" w:hAnsi="Courier New" w:hint="default"/>
      </w:rPr>
    </w:lvl>
    <w:lvl w:ilvl="5" w:tplc="6BF8769A">
      <w:start w:val="1"/>
      <w:numFmt w:val="bullet"/>
      <w:lvlText w:val=""/>
      <w:lvlJc w:val="left"/>
      <w:pPr>
        <w:ind w:left="4320" w:hanging="360"/>
      </w:pPr>
      <w:rPr>
        <w:rFonts w:ascii="Wingdings" w:hAnsi="Wingdings" w:hint="default"/>
      </w:rPr>
    </w:lvl>
    <w:lvl w:ilvl="6" w:tplc="8D5EBAEE">
      <w:start w:val="1"/>
      <w:numFmt w:val="bullet"/>
      <w:lvlText w:val=""/>
      <w:lvlJc w:val="left"/>
      <w:pPr>
        <w:ind w:left="5040" w:hanging="360"/>
      </w:pPr>
      <w:rPr>
        <w:rFonts w:ascii="Symbol" w:hAnsi="Symbol" w:hint="default"/>
      </w:rPr>
    </w:lvl>
    <w:lvl w:ilvl="7" w:tplc="D04EC826">
      <w:start w:val="1"/>
      <w:numFmt w:val="bullet"/>
      <w:lvlText w:val="o"/>
      <w:lvlJc w:val="left"/>
      <w:pPr>
        <w:ind w:left="5760" w:hanging="360"/>
      </w:pPr>
      <w:rPr>
        <w:rFonts w:ascii="Courier New" w:hAnsi="Courier New" w:hint="default"/>
      </w:rPr>
    </w:lvl>
    <w:lvl w:ilvl="8" w:tplc="07580D26">
      <w:start w:val="1"/>
      <w:numFmt w:val="bullet"/>
      <w:lvlText w:val=""/>
      <w:lvlJc w:val="left"/>
      <w:pPr>
        <w:ind w:left="6480" w:hanging="360"/>
      </w:pPr>
      <w:rPr>
        <w:rFonts w:ascii="Wingdings" w:hAnsi="Wingdings" w:hint="default"/>
      </w:rPr>
    </w:lvl>
  </w:abstractNum>
  <w:abstractNum w:abstractNumId="6" w15:restartNumberingAfterBreak="0">
    <w:nsid w:val="06C4493B"/>
    <w:multiLevelType w:val="singleLevel"/>
    <w:tmpl w:val="D2C42A1C"/>
    <w:lvl w:ilvl="0">
      <w:start w:val="1"/>
      <w:numFmt w:val="lowerRoman"/>
      <w:pStyle w:val="NumeralList"/>
      <w:lvlText w:val="%1)"/>
      <w:lvlJc w:val="left"/>
      <w:pPr>
        <w:tabs>
          <w:tab w:val="num" w:pos="1440"/>
        </w:tabs>
        <w:ind w:left="1440" w:hanging="720"/>
      </w:pPr>
      <w:rPr>
        <w:b w:val="0"/>
        <w:caps w:val="0"/>
      </w:rPr>
    </w:lvl>
  </w:abstractNum>
  <w:abstractNum w:abstractNumId="7" w15:restartNumberingAfterBreak="0">
    <w:nsid w:val="09A54085"/>
    <w:multiLevelType w:val="hybridMultilevel"/>
    <w:tmpl w:val="B1269CA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0AC25711"/>
    <w:multiLevelType w:val="hybridMultilevel"/>
    <w:tmpl w:val="CBD0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6C6B94"/>
    <w:multiLevelType w:val="hybridMultilevel"/>
    <w:tmpl w:val="49989980"/>
    <w:lvl w:ilvl="0" w:tplc="ED7AE6BC">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0DD58262"/>
    <w:multiLevelType w:val="hybridMultilevel"/>
    <w:tmpl w:val="D7F2E098"/>
    <w:lvl w:ilvl="0" w:tplc="E8EC4A9C">
      <w:start w:val="1"/>
      <w:numFmt w:val="decimal"/>
      <w:lvlText w:val="%1."/>
      <w:lvlJc w:val="left"/>
      <w:pPr>
        <w:ind w:left="720" w:hanging="360"/>
      </w:pPr>
    </w:lvl>
    <w:lvl w:ilvl="1" w:tplc="CA28EE72">
      <w:start w:val="1"/>
      <w:numFmt w:val="lowerLetter"/>
      <w:lvlText w:val="%2."/>
      <w:lvlJc w:val="left"/>
      <w:pPr>
        <w:ind w:left="1440" w:hanging="360"/>
      </w:pPr>
    </w:lvl>
    <w:lvl w:ilvl="2" w:tplc="437C6568">
      <w:start w:val="1"/>
      <w:numFmt w:val="lowerRoman"/>
      <w:lvlText w:val="%3."/>
      <w:lvlJc w:val="right"/>
      <w:pPr>
        <w:ind w:left="2160" w:hanging="180"/>
      </w:pPr>
    </w:lvl>
    <w:lvl w:ilvl="3" w:tplc="C526BD72">
      <w:start w:val="1"/>
      <w:numFmt w:val="decimal"/>
      <w:lvlText w:val="%4."/>
      <w:lvlJc w:val="left"/>
      <w:pPr>
        <w:ind w:left="2880" w:hanging="360"/>
      </w:pPr>
    </w:lvl>
    <w:lvl w:ilvl="4" w:tplc="53962978">
      <w:start w:val="1"/>
      <w:numFmt w:val="lowerLetter"/>
      <w:lvlText w:val="%5."/>
      <w:lvlJc w:val="left"/>
      <w:pPr>
        <w:ind w:left="3600" w:hanging="360"/>
      </w:pPr>
    </w:lvl>
    <w:lvl w:ilvl="5" w:tplc="3DBE15C4">
      <w:start w:val="1"/>
      <w:numFmt w:val="lowerRoman"/>
      <w:lvlText w:val="%6."/>
      <w:lvlJc w:val="right"/>
      <w:pPr>
        <w:ind w:left="4320" w:hanging="180"/>
      </w:pPr>
    </w:lvl>
    <w:lvl w:ilvl="6" w:tplc="75B66382">
      <w:start w:val="1"/>
      <w:numFmt w:val="decimal"/>
      <w:lvlText w:val="%7."/>
      <w:lvlJc w:val="left"/>
      <w:pPr>
        <w:ind w:left="5040" w:hanging="360"/>
      </w:pPr>
    </w:lvl>
    <w:lvl w:ilvl="7" w:tplc="F5B6E9CA">
      <w:start w:val="1"/>
      <w:numFmt w:val="lowerLetter"/>
      <w:lvlText w:val="%8."/>
      <w:lvlJc w:val="left"/>
      <w:pPr>
        <w:ind w:left="5760" w:hanging="360"/>
      </w:pPr>
    </w:lvl>
    <w:lvl w:ilvl="8" w:tplc="AB7AF03A">
      <w:start w:val="1"/>
      <w:numFmt w:val="lowerRoman"/>
      <w:lvlText w:val="%9."/>
      <w:lvlJc w:val="right"/>
      <w:pPr>
        <w:ind w:left="6480" w:hanging="180"/>
      </w:pPr>
    </w:lvl>
  </w:abstractNum>
  <w:abstractNum w:abstractNumId="11" w15:restartNumberingAfterBreak="0">
    <w:nsid w:val="0EC25B7F"/>
    <w:multiLevelType w:val="hybridMultilevel"/>
    <w:tmpl w:val="AFF4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3578E"/>
    <w:multiLevelType w:val="hybridMultilevel"/>
    <w:tmpl w:val="D6529BC8"/>
    <w:lvl w:ilvl="0" w:tplc="B2060D4C">
      <w:start w:val="1"/>
      <w:numFmt w:val="bullet"/>
      <w:lvlText w:val="-"/>
      <w:lvlJc w:val="left"/>
      <w:pPr>
        <w:ind w:left="720" w:hanging="360"/>
      </w:pPr>
      <w:rPr>
        <w:rFonts w:ascii="&quot;Arial&quot;,sans-serif" w:hAnsi="&quot;Arial&quot;,sans-serif" w:hint="default"/>
      </w:rPr>
    </w:lvl>
    <w:lvl w:ilvl="1" w:tplc="5AE44CF4">
      <w:start w:val="1"/>
      <w:numFmt w:val="bullet"/>
      <w:lvlText w:val="o"/>
      <w:lvlJc w:val="left"/>
      <w:pPr>
        <w:ind w:left="1440" w:hanging="360"/>
      </w:pPr>
      <w:rPr>
        <w:rFonts w:ascii="Courier New" w:hAnsi="Courier New" w:hint="default"/>
      </w:rPr>
    </w:lvl>
    <w:lvl w:ilvl="2" w:tplc="AAE2416E">
      <w:start w:val="1"/>
      <w:numFmt w:val="bullet"/>
      <w:lvlText w:val=""/>
      <w:lvlJc w:val="left"/>
      <w:pPr>
        <w:ind w:left="2160" w:hanging="360"/>
      </w:pPr>
      <w:rPr>
        <w:rFonts w:ascii="Wingdings" w:hAnsi="Wingdings" w:hint="default"/>
      </w:rPr>
    </w:lvl>
    <w:lvl w:ilvl="3" w:tplc="91086046">
      <w:start w:val="1"/>
      <w:numFmt w:val="bullet"/>
      <w:lvlText w:val=""/>
      <w:lvlJc w:val="left"/>
      <w:pPr>
        <w:ind w:left="2880" w:hanging="360"/>
      </w:pPr>
      <w:rPr>
        <w:rFonts w:ascii="Symbol" w:hAnsi="Symbol" w:hint="default"/>
      </w:rPr>
    </w:lvl>
    <w:lvl w:ilvl="4" w:tplc="D7A0C962">
      <w:start w:val="1"/>
      <w:numFmt w:val="bullet"/>
      <w:lvlText w:val="o"/>
      <w:lvlJc w:val="left"/>
      <w:pPr>
        <w:ind w:left="3600" w:hanging="360"/>
      </w:pPr>
      <w:rPr>
        <w:rFonts w:ascii="Courier New" w:hAnsi="Courier New" w:hint="default"/>
      </w:rPr>
    </w:lvl>
    <w:lvl w:ilvl="5" w:tplc="376484F4">
      <w:start w:val="1"/>
      <w:numFmt w:val="bullet"/>
      <w:lvlText w:val=""/>
      <w:lvlJc w:val="left"/>
      <w:pPr>
        <w:ind w:left="4320" w:hanging="360"/>
      </w:pPr>
      <w:rPr>
        <w:rFonts w:ascii="Wingdings" w:hAnsi="Wingdings" w:hint="default"/>
      </w:rPr>
    </w:lvl>
    <w:lvl w:ilvl="6" w:tplc="F61C18E2">
      <w:start w:val="1"/>
      <w:numFmt w:val="bullet"/>
      <w:lvlText w:val=""/>
      <w:lvlJc w:val="left"/>
      <w:pPr>
        <w:ind w:left="5040" w:hanging="360"/>
      </w:pPr>
      <w:rPr>
        <w:rFonts w:ascii="Symbol" w:hAnsi="Symbol" w:hint="default"/>
      </w:rPr>
    </w:lvl>
    <w:lvl w:ilvl="7" w:tplc="D8F01A6C">
      <w:start w:val="1"/>
      <w:numFmt w:val="bullet"/>
      <w:lvlText w:val="o"/>
      <w:lvlJc w:val="left"/>
      <w:pPr>
        <w:ind w:left="5760" w:hanging="360"/>
      </w:pPr>
      <w:rPr>
        <w:rFonts w:ascii="Courier New" w:hAnsi="Courier New" w:hint="default"/>
      </w:rPr>
    </w:lvl>
    <w:lvl w:ilvl="8" w:tplc="05CA6700">
      <w:start w:val="1"/>
      <w:numFmt w:val="bullet"/>
      <w:lvlText w:val=""/>
      <w:lvlJc w:val="left"/>
      <w:pPr>
        <w:ind w:left="6480" w:hanging="360"/>
      </w:pPr>
      <w:rPr>
        <w:rFonts w:ascii="Wingdings" w:hAnsi="Wingdings" w:hint="default"/>
      </w:rPr>
    </w:lvl>
  </w:abstractNum>
  <w:abstractNum w:abstractNumId="13" w15:restartNumberingAfterBreak="0">
    <w:nsid w:val="19691447"/>
    <w:multiLevelType w:val="hybridMultilevel"/>
    <w:tmpl w:val="68AC1C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585F29"/>
    <w:multiLevelType w:val="hybridMultilevel"/>
    <w:tmpl w:val="FC44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1F2F6B"/>
    <w:multiLevelType w:val="hybridMultilevel"/>
    <w:tmpl w:val="05FACC2E"/>
    <w:lvl w:ilvl="0" w:tplc="890C012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CCD0990"/>
    <w:multiLevelType w:val="hybridMultilevel"/>
    <w:tmpl w:val="1DDA85E6"/>
    <w:lvl w:ilvl="0" w:tplc="8304CF3E">
      <w:start w:val="1"/>
      <w:numFmt w:val="decimal"/>
      <w:pStyle w:val="StyleListNumberBold"/>
      <w:lvlText w:val="%1)"/>
      <w:lvlJc w:val="left"/>
      <w:pPr>
        <w:ind w:left="1440" w:hanging="360"/>
      </w:pPr>
      <w:rPr>
        <w:rFonts w:hint="default"/>
        <w:color w:val="1E35BF"/>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2C5DFA"/>
    <w:multiLevelType w:val="hybridMultilevel"/>
    <w:tmpl w:val="213C4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FB587F"/>
    <w:multiLevelType w:val="hybridMultilevel"/>
    <w:tmpl w:val="B1D6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648E1"/>
    <w:multiLevelType w:val="hybridMultilevel"/>
    <w:tmpl w:val="5156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3F0E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0464A7"/>
    <w:multiLevelType w:val="hybridMultilevel"/>
    <w:tmpl w:val="53CC1A46"/>
    <w:lvl w:ilvl="0" w:tplc="0809000F">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3" w15:restartNumberingAfterBreak="0">
    <w:nsid w:val="3208254B"/>
    <w:multiLevelType w:val="hybridMultilevel"/>
    <w:tmpl w:val="61927A5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A324D6"/>
    <w:multiLevelType w:val="hybridMultilevel"/>
    <w:tmpl w:val="8C40D85C"/>
    <w:lvl w:ilvl="0" w:tplc="08090019">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8153D62"/>
    <w:multiLevelType w:val="hybridMultilevel"/>
    <w:tmpl w:val="225C89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AD1D22"/>
    <w:multiLevelType w:val="hybridMultilevel"/>
    <w:tmpl w:val="B526FC62"/>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27" w15:restartNumberingAfterBreak="0">
    <w:nsid w:val="3CAD799B"/>
    <w:multiLevelType w:val="hybridMultilevel"/>
    <w:tmpl w:val="17A6AFE6"/>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141183E"/>
    <w:multiLevelType w:val="hybridMultilevel"/>
    <w:tmpl w:val="8B92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6B0342"/>
    <w:multiLevelType w:val="multilevel"/>
    <w:tmpl w:val="FAB82BDA"/>
    <w:styleLink w:val="Bulleted"/>
    <w:lvl w:ilvl="0">
      <w:numFmt w:val="bullet"/>
      <w:pStyle w:val="Bullets"/>
      <w:lvlText w:val="&gt;"/>
      <w:lvlJc w:val="left"/>
      <w:pPr>
        <w:tabs>
          <w:tab w:val="num" w:pos="284"/>
        </w:tabs>
        <w:ind w:left="284" w:hanging="284"/>
      </w:pPr>
      <w:rPr>
        <w:rFonts w:ascii="Sansa Lloyds" w:hAnsi="Sansa Lloyds" w:hint="default"/>
        <w:color w:val="631D76"/>
        <w:sz w:val="16"/>
      </w:rPr>
    </w:lvl>
    <w:lvl w:ilvl="1">
      <w:start w:val="1"/>
      <w:numFmt w:val="bullet"/>
      <w:lvlText w:val="&gt;"/>
      <w:lvlJc w:val="left"/>
      <w:pPr>
        <w:tabs>
          <w:tab w:val="num" w:pos="567"/>
        </w:tabs>
        <w:ind w:left="567" w:hanging="397"/>
      </w:pPr>
      <w:rPr>
        <w:rFonts w:ascii="Sansa Lloyds" w:hAnsi="Sansa Lloyds" w:hint="default"/>
        <w:sz w:val="16"/>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C25763E"/>
    <w:multiLevelType w:val="hybridMultilevel"/>
    <w:tmpl w:val="1EDC4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1C757C"/>
    <w:multiLevelType w:val="hybridMultilevel"/>
    <w:tmpl w:val="F084B1EA"/>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32" w15:restartNumberingAfterBreak="0">
    <w:nsid w:val="4E4605F2"/>
    <w:multiLevelType w:val="hybridMultilevel"/>
    <w:tmpl w:val="8AC2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461EE9"/>
    <w:multiLevelType w:val="hybridMultilevel"/>
    <w:tmpl w:val="FEAC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A10791"/>
    <w:multiLevelType w:val="hybridMultilevel"/>
    <w:tmpl w:val="FB06A04A"/>
    <w:lvl w:ilvl="0" w:tplc="08090003">
      <w:start w:val="1"/>
      <w:numFmt w:val="lowerLetter"/>
      <w:lvlText w:val="%1."/>
      <w:lvlJc w:val="left"/>
      <w:pPr>
        <w:tabs>
          <w:tab w:val="num" w:pos="360"/>
        </w:tabs>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AD6E3D"/>
    <w:multiLevelType w:val="hybridMultilevel"/>
    <w:tmpl w:val="EC4E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103E61"/>
    <w:multiLevelType w:val="hybridMultilevel"/>
    <w:tmpl w:val="BD0CF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9B1B4D"/>
    <w:multiLevelType w:val="multilevel"/>
    <w:tmpl w:val="65CCE174"/>
    <w:styleLink w:val="Headings"/>
    <w:lvl w:ilvl="0">
      <w:start w:val="1"/>
      <w:numFmt w:val="decimal"/>
      <w:pStyle w:val="Heading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8" w15:restartNumberingAfterBreak="0">
    <w:nsid w:val="586E3AEE"/>
    <w:multiLevelType w:val="hybridMultilevel"/>
    <w:tmpl w:val="DD12A1C4"/>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5885390D"/>
    <w:multiLevelType w:val="hybridMultilevel"/>
    <w:tmpl w:val="269C7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9554E9F"/>
    <w:multiLevelType w:val="hybridMultilevel"/>
    <w:tmpl w:val="6F7EB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ABF207E"/>
    <w:multiLevelType w:val="hybridMultilevel"/>
    <w:tmpl w:val="D24A0272"/>
    <w:lvl w:ilvl="0" w:tplc="04BE2B48">
      <w:start w:val="1"/>
      <w:numFmt w:val="lowerLetter"/>
      <w:pStyle w:val="Lett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5CAF6FDB"/>
    <w:multiLevelType w:val="hybridMultilevel"/>
    <w:tmpl w:val="9DDA6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F02101C"/>
    <w:multiLevelType w:val="hybridMultilevel"/>
    <w:tmpl w:val="49D4A110"/>
    <w:lvl w:ilvl="0" w:tplc="08090001">
      <w:start w:val="1"/>
      <w:numFmt w:val="bullet"/>
      <w:lvlText w:val=""/>
      <w:lvlJc w:val="left"/>
      <w:pPr>
        <w:ind w:left="1855" w:hanging="360"/>
      </w:pPr>
      <w:rPr>
        <w:rFonts w:ascii="Symbol" w:hAnsi="Symbol" w:hint="default"/>
      </w:rPr>
    </w:lvl>
    <w:lvl w:ilvl="1" w:tplc="08090003" w:tentative="1">
      <w:start w:val="1"/>
      <w:numFmt w:val="bullet"/>
      <w:lvlText w:val="o"/>
      <w:lvlJc w:val="left"/>
      <w:pPr>
        <w:ind w:left="2575" w:hanging="360"/>
      </w:pPr>
      <w:rPr>
        <w:rFonts w:ascii="Courier New" w:hAnsi="Courier New" w:cs="Courier New" w:hint="default"/>
      </w:rPr>
    </w:lvl>
    <w:lvl w:ilvl="2" w:tplc="08090005" w:tentative="1">
      <w:start w:val="1"/>
      <w:numFmt w:val="bullet"/>
      <w:lvlText w:val=""/>
      <w:lvlJc w:val="left"/>
      <w:pPr>
        <w:ind w:left="3295" w:hanging="360"/>
      </w:pPr>
      <w:rPr>
        <w:rFonts w:ascii="Wingdings" w:hAnsi="Wingdings" w:hint="default"/>
      </w:rPr>
    </w:lvl>
    <w:lvl w:ilvl="3" w:tplc="08090001" w:tentative="1">
      <w:start w:val="1"/>
      <w:numFmt w:val="bullet"/>
      <w:lvlText w:val=""/>
      <w:lvlJc w:val="left"/>
      <w:pPr>
        <w:ind w:left="4015" w:hanging="360"/>
      </w:pPr>
      <w:rPr>
        <w:rFonts w:ascii="Symbol" w:hAnsi="Symbol" w:hint="default"/>
      </w:rPr>
    </w:lvl>
    <w:lvl w:ilvl="4" w:tplc="08090003" w:tentative="1">
      <w:start w:val="1"/>
      <w:numFmt w:val="bullet"/>
      <w:lvlText w:val="o"/>
      <w:lvlJc w:val="left"/>
      <w:pPr>
        <w:ind w:left="4735" w:hanging="360"/>
      </w:pPr>
      <w:rPr>
        <w:rFonts w:ascii="Courier New" w:hAnsi="Courier New" w:cs="Courier New" w:hint="default"/>
      </w:rPr>
    </w:lvl>
    <w:lvl w:ilvl="5" w:tplc="08090005" w:tentative="1">
      <w:start w:val="1"/>
      <w:numFmt w:val="bullet"/>
      <w:lvlText w:val=""/>
      <w:lvlJc w:val="left"/>
      <w:pPr>
        <w:ind w:left="5455" w:hanging="360"/>
      </w:pPr>
      <w:rPr>
        <w:rFonts w:ascii="Wingdings" w:hAnsi="Wingdings" w:hint="default"/>
      </w:rPr>
    </w:lvl>
    <w:lvl w:ilvl="6" w:tplc="08090001" w:tentative="1">
      <w:start w:val="1"/>
      <w:numFmt w:val="bullet"/>
      <w:lvlText w:val=""/>
      <w:lvlJc w:val="left"/>
      <w:pPr>
        <w:ind w:left="6175" w:hanging="360"/>
      </w:pPr>
      <w:rPr>
        <w:rFonts w:ascii="Symbol" w:hAnsi="Symbol" w:hint="default"/>
      </w:rPr>
    </w:lvl>
    <w:lvl w:ilvl="7" w:tplc="08090003" w:tentative="1">
      <w:start w:val="1"/>
      <w:numFmt w:val="bullet"/>
      <w:lvlText w:val="o"/>
      <w:lvlJc w:val="left"/>
      <w:pPr>
        <w:ind w:left="6895" w:hanging="360"/>
      </w:pPr>
      <w:rPr>
        <w:rFonts w:ascii="Courier New" w:hAnsi="Courier New" w:cs="Courier New" w:hint="default"/>
      </w:rPr>
    </w:lvl>
    <w:lvl w:ilvl="8" w:tplc="08090005" w:tentative="1">
      <w:start w:val="1"/>
      <w:numFmt w:val="bullet"/>
      <w:lvlText w:val=""/>
      <w:lvlJc w:val="left"/>
      <w:pPr>
        <w:ind w:left="7615" w:hanging="360"/>
      </w:pPr>
      <w:rPr>
        <w:rFonts w:ascii="Wingdings" w:hAnsi="Wingdings" w:hint="default"/>
      </w:rPr>
    </w:lvl>
  </w:abstractNum>
  <w:abstractNum w:abstractNumId="44" w15:restartNumberingAfterBreak="0">
    <w:nsid w:val="614D1152"/>
    <w:multiLevelType w:val="hybridMultilevel"/>
    <w:tmpl w:val="CDF84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2372B91"/>
    <w:multiLevelType w:val="hybridMultilevel"/>
    <w:tmpl w:val="95020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172666"/>
    <w:multiLevelType w:val="hybridMultilevel"/>
    <w:tmpl w:val="BC88614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47" w15:restartNumberingAfterBreak="0">
    <w:nsid w:val="64F37C38"/>
    <w:multiLevelType w:val="hybridMultilevel"/>
    <w:tmpl w:val="EF94C3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66591FBC"/>
    <w:multiLevelType w:val="hybridMultilevel"/>
    <w:tmpl w:val="155CAB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BE488D"/>
    <w:multiLevelType w:val="hybridMultilevel"/>
    <w:tmpl w:val="0DF0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865E8D"/>
    <w:multiLevelType w:val="hybridMultilevel"/>
    <w:tmpl w:val="31E6C044"/>
    <w:lvl w:ilvl="0" w:tplc="24BCB2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A812C9E"/>
    <w:multiLevelType w:val="hybridMultilevel"/>
    <w:tmpl w:val="E25E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BC7094"/>
    <w:multiLevelType w:val="multilevel"/>
    <w:tmpl w:val="65CCE174"/>
    <w:numStyleLink w:val="Headings"/>
  </w:abstractNum>
  <w:abstractNum w:abstractNumId="53" w15:restartNumberingAfterBreak="0">
    <w:nsid w:val="6B7B0CFC"/>
    <w:multiLevelType w:val="hybridMultilevel"/>
    <w:tmpl w:val="C87CE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C524C03"/>
    <w:multiLevelType w:val="hybridMultilevel"/>
    <w:tmpl w:val="BBBA4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E174720"/>
    <w:multiLevelType w:val="hybridMultilevel"/>
    <w:tmpl w:val="7D0A79C2"/>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6" w15:restartNumberingAfterBreak="0">
    <w:nsid w:val="6F224281"/>
    <w:multiLevelType w:val="hybridMultilevel"/>
    <w:tmpl w:val="1514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273970"/>
    <w:multiLevelType w:val="multilevel"/>
    <w:tmpl w:val="FAB82BDA"/>
    <w:numStyleLink w:val="Bulleted"/>
  </w:abstractNum>
  <w:abstractNum w:abstractNumId="58" w15:restartNumberingAfterBreak="0">
    <w:nsid w:val="727A06A5"/>
    <w:multiLevelType w:val="hybridMultilevel"/>
    <w:tmpl w:val="7E9ED2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41597B"/>
    <w:multiLevelType w:val="hybridMultilevel"/>
    <w:tmpl w:val="099E37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3DF11E3"/>
    <w:multiLevelType w:val="hybridMultilevel"/>
    <w:tmpl w:val="E1A64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58D0375"/>
    <w:multiLevelType w:val="hybridMultilevel"/>
    <w:tmpl w:val="D540840E"/>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2" w15:restartNumberingAfterBreak="0">
    <w:nsid w:val="7A527E2A"/>
    <w:multiLevelType w:val="hybridMultilevel"/>
    <w:tmpl w:val="AAC23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B701A7"/>
    <w:multiLevelType w:val="hybridMultilevel"/>
    <w:tmpl w:val="103C2B84"/>
    <w:lvl w:ilvl="0" w:tplc="08090001">
      <w:start w:val="1"/>
      <w:numFmt w:val="bullet"/>
      <w:lvlText w:val=""/>
      <w:lvlJc w:val="left"/>
      <w:pPr>
        <w:ind w:left="692" w:hanging="360"/>
      </w:pPr>
      <w:rPr>
        <w:rFonts w:ascii="Symbol" w:hAnsi="Symbol" w:hint="default"/>
      </w:rPr>
    </w:lvl>
    <w:lvl w:ilvl="1" w:tplc="08090003">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64" w15:restartNumberingAfterBreak="0">
    <w:nsid w:val="7ADD35E5"/>
    <w:multiLevelType w:val="hybridMultilevel"/>
    <w:tmpl w:val="9B26922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5" w15:restartNumberingAfterBreak="0">
    <w:nsid w:val="7B610A6E"/>
    <w:multiLevelType w:val="hybridMultilevel"/>
    <w:tmpl w:val="9F78633C"/>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6" w15:restartNumberingAfterBreak="0">
    <w:nsid w:val="7F9E2582"/>
    <w:multiLevelType w:val="hybridMultilevel"/>
    <w:tmpl w:val="530E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C20243"/>
    <w:multiLevelType w:val="hybridMultilevel"/>
    <w:tmpl w:val="C9E4B1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6620848">
    <w:abstractNumId w:val="10"/>
  </w:num>
  <w:num w:numId="2" w16cid:durableId="210192071">
    <w:abstractNumId w:val="5"/>
  </w:num>
  <w:num w:numId="3" w16cid:durableId="1182670082">
    <w:abstractNumId w:val="12"/>
  </w:num>
  <w:num w:numId="4" w16cid:durableId="484443809">
    <w:abstractNumId w:val="3"/>
  </w:num>
  <w:num w:numId="5" w16cid:durableId="2028679292">
    <w:abstractNumId w:val="1"/>
  </w:num>
  <w:num w:numId="6" w16cid:durableId="1857503930">
    <w:abstractNumId w:val="0"/>
  </w:num>
  <w:num w:numId="7" w16cid:durableId="1581138890">
    <w:abstractNumId w:val="2"/>
  </w:num>
  <w:num w:numId="8" w16cid:durableId="1654985341">
    <w:abstractNumId w:val="37"/>
  </w:num>
  <w:num w:numId="9" w16cid:durableId="628239789">
    <w:abstractNumId w:val="52"/>
    <w:lvlOverride w:ilvl="0">
      <w:lvl w:ilvl="0">
        <w:start w:val="1"/>
        <w:numFmt w:val="decimal"/>
        <w:pStyle w:val="Heading1"/>
        <w:lvlText w:val="%1"/>
        <w:lvlJc w:val="left"/>
        <w:pPr>
          <w:ind w:left="567" w:hanging="567"/>
        </w:pPr>
        <w:rPr>
          <w:rFonts w:ascii="Arial" w:hAnsi="Arial" w:hint="default"/>
          <w:b w:val="0"/>
          <w:bCs w:val="0"/>
          <w:i w:val="0"/>
          <w:iCs w:val="0"/>
          <w:caps w:val="0"/>
          <w:smallCaps w:val="0"/>
          <w:strike w:val="0"/>
          <w:dstrike w:val="0"/>
          <w:outline w:val="0"/>
          <w:shadow w:val="0"/>
          <w:emboss w:val="0"/>
          <w:imprint w:val="0"/>
          <w:color w:val="auto"/>
          <w:spacing w:val="0"/>
          <w:w w:val="100"/>
          <w:kern w:val="28"/>
          <w:position w:val="0"/>
          <w:sz w:val="32"/>
          <w:u w:val="none"/>
          <w:effect w:val="none"/>
          <w:bdr w:val="none" w:sz="0" w:space="0" w:color="auto"/>
          <w:shd w:val="clear" w:color="auto" w:fill="auto"/>
          <w:vertAlign w:val="baseline"/>
          <w:em w:val="none"/>
        </w:rPr>
      </w:lvl>
    </w:lvlOverride>
    <w:lvlOverride w:ilvl="1">
      <w:lvl w:ilvl="1">
        <w:start w:val="1"/>
        <w:numFmt w:val="decimal"/>
        <w:lvlText w:val="%1.%2"/>
        <w:lvlJc w:val="left"/>
        <w:pPr>
          <w:ind w:left="567" w:hanging="567"/>
        </w:pPr>
        <w:rPr>
          <w:rFonts w:hint="default"/>
          <w:b w:val="0"/>
        </w:rPr>
      </w:lvl>
    </w:lvlOverride>
    <w:lvlOverride w:ilvl="2">
      <w:lvl w:ilvl="2">
        <w:start w:val="1"/>
        <w:numFmt w:val="decimal"/>
        <w:lvlText w:val="%1.%2.%3"/>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16cid:durableId="958027644">
    <w:abstractNumId w:val="29"/>
  </w:num>
  <w:num w:numId="11" w16cid:durableId="1359507573">
    <w:abstractNumId w:val="57"/>
  </w:num>
  <w:num w:numId="12" w16cid:durableId="201673462">
    <w:abstractNumId w:val="16"/>
  </w:num>
  <w:num w:numId="13" w16cid:durableId="2096171559">
    <w:abstractNumId w:val="41"/>
  </w:num>
  <w:num w:numId="14" w16cid:durableId="1181242084">
    <w:abstractNumId w:val="21"/>
  </w:num>
  <w:num w:numId="15" w16cid:durableId="149173651">
    <w:abstractNumId w:val="4"/>
  </w:num>
  <w:num w:numId="16" w16cid:durableId="247547192">
    <w:abstractNumId w:val="34"/>
  </w:num>
  <w:num w:numId="17" w16cid:durableId="1327591908">
    <w:abstractNumId w:val="6"/>
  </w:num>
  <w:num w:numId="18" w16cid:durableId="1036201275">
    <w:abstractNumId w:val="56"/>
  </w:num>
  <w:num w:numId="19" w16cid:durableId="1247418239">
    <w:abstractNumId w:val="17"/>
  </w:num>
  <w:num w:numId="20" w16cid:durableId="522549741">
    <w:abstractNumId w:val="58"/>
  </w:num>
  <w:num w:numId="21" w16cid:durableId="31882845">
    <w:abstractNumId w:val="8"/>
  </w:num>
  <w:num w:numId="22" w16cid:durableId="2069111129">
    <w:abstractNumId w:val="11"/>
  </w:num>
  <w:num w:numId="23" w16cid:durableId="1035542445">
    <w:abstractNumId w:val="62"/>
  </w:num>
  <w:num w:numId="24" w16cid:durableId="1163011157">
    <w:abstractNumId w:val="64"/>
  </w:num>
  <w:num w:numId="25" w16cid:durableId="1086069817">
    <w:abstractNumId w:val="51"/>
  </w:num>
  <w:num w:numId="26" w16cid:durableId="2009405217">
    <w:abstractNumId w:val="66"/>
  </w:num>
  <w:num w:numId="27" w16cid:durableId="408963967">
    <w:abstractNumId w:val="14"/>
  </w:num>
  <w:num w:numId="28" w16cid:durableId="1374963072">
    <w:abstractNumId w:val="67"/>
  </w:num>
  <w:num w:numId="29" w16cid:durableId="806555354">
    <w:abstractNumId w:val="60"/>
  </w:num>
  <w:num w:numId="30" w16cid:durableId="351878503">
    <w:abstractNumId w:val="49"/>
  </w:num>
  <w:num w:numId="31" w16cid:durableId="936401876">
    <w:abstractNumId w:val="22"/>
  </w:num>
  <w:num w:numId="32" w16cid:durableId="185296502">
    <w:abstractNumId w:val="48"/>
  </w:num>
  <w:num w:numId="33" w16cid:durableId="638919767">
    <w:abstractNumId w:val="24"/>
  </w:num>
  <w:num w:numId="34" w16cid:durableId="1437402930">
    <w:abstractNumId w:val="19"/>
  </w:num>
  <w:num w:numId="35" w16cid:durableId="1148942333">
    <w:abstractNumId w:val="53"/>
  </w:num>
  <w:num w:numId="36" w16cid:durableId="1659653924">
    <w:abstractNumId w:val="44"/>
  </w:num>
  <w:num w:numId="37" w16cid:durableId="2102755214">
    <w:abstractNumId w:val="15"/>
  </w:num>
  <w:num w:numId="38" w16cid:durableId="1445610734">
    <w:abstractNumId w:val="39"/>
  </w:num>
  <w:num w:numId="39" w16cid:durableId="132601346">
    <w:abstractNumId w:val="35"/>
  </w:num>
  <w:num w:numId="40" w16cid:durableId="1431051270">
    <w:abstractNumId w:val="45"/>
  </w:num>
  <w:num w:numId="41" w16cid:durableId="160510699">
    <w:abstractNumId w:val="50"/>
  </w:num>
  <w:num w:numId="42" w16cid:durableId="1152794830">
    <w:abstractNumId w:val="36"/>
  </w:num>
  <w:num w:numId="43" w16cid:durableId="1893423078">
    <w:abstractNumId w:val="32"/>
  </w:num>
  <w:num w:numId="44" w16cid:durableId="1581791801">
    <w:abstractNumId w:val="42"/>
  </w:num>
  <w:num w:numId="45" w16cid:durableId="989209184">
    <w:abstractNumId w:val="61"/>
  </w:num>
  <w:num w:numId="46" w16cid:durableId="493422046">
    <w:abstractNumId w:val="40"/>
  </w:num>
  <w:num w:numId="47" w16cid:durableId="1246108115">
    <w:abstractNumId w:val="54"/>
  </w:num>
  <w:num w:numId="48" w16cid:durableId="1418482403">
    <w:abstractNumId w:val="18"/>
  </w:num>
  <w:num w:numId="49" w16cid:durableId="550310622">
    <w:abstractNumId w:val="30"/>
  </w:num>
  <w:num w:numId="50" w16cid:durableId="916091491">
    <w:abstractNumId w:val="27"/>
  </w:num>
  <w:num w:numId="51" w16cid:durableId="1275986967">
    <w:abstractNumId w:val="7"/>
  </w:num>
  <w:num w:numId="52" w16cid:durableId="1702825645">
    <w:abstractNumId w:val="13"/>
  </w:num>
  <w:num w:numId="53" w16cid:durableId="470513028">
    <w:abstractNumId w:val="25"/>
  </w:num>
  <w:num w:numId="54" w16cid:durableId="1273972730">
    <w:abstractNumId w:val="9"/>
  </w:num>
  <w:num w:numId="55" w16cid:durableId="1184710902">
    <w:abstractNumId w:val="43"/>
  </w:num>
  <w:num w:numId="56" w16cid:durableId="1454446497">
    <w:abstractNumId w:val="28"/>
  </w:num>
  <w:num w:numId="57" w16cid:durableId="1584216221">
    <w:abstractNumId w:val="23"/>
  </w:num>
  <w:num w:numId="58" w16cid:durableId="1571768019">
    <w:abstractNumId w:val="31"/>
  </w:num>
  <w:num w:numId="59" w16cid:durableId="757798178">
    <w:abstractNumId w:val="63"/>
  </w:num>
  <w:num w:numId="60" w16cid:durableId="495607048">
    <w:abstractNumId w:val="26"/>
  </w:num>
  <w:num w:numId="61" w16cid:durableId="1873614985">
    <w:abstractNumId w:val="46"/>
  </w:num>
  <w:num w:numId="62" w16cid:durableId="300767867">
    <w:abstractNumId w:val="38"/>
  </w:num>
  <w:num w:numId="63" w16cid:durableId="1085689053">
    <w:abstractNumId w:val="55"/>
  </w:num>
  <w:num w:numId="64" w16cid:durableId="1511874796">
    <w:abstractNumId w:val="65"/>
  </w:num>
  <w:num w:numId="65" w16cid:durableId="1881700906">
    <w:abstractNumId w:val="59"/>
  </w:num>
  <w:num w:numId="66" w16cid:durableId="1207721784">
    <w:abstractNumId w:val="20"/>
  </w:num>
  <w:num w:numId="67" w16cid:durableId="1063600061">
    <w:abstractNumId w:val="47"/>
  </w:num>
  <w:num w:numId="68" w16cid:durableId="1627588783">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89"/>
    <w:rsid w:val="000023FE"/>
    <w:rsid w:val="00002941"/>
    <w:rsid w:val="00003A34"/>
    <w:rsid w:val="00004271"/>
    <w:rsid w:val="000047B5"/>
    <w:rsid w:val="000047CB"/>
    <w:rsid w:val="00005BF7"/>
    <w:rsid w:val="0000770C"/>
    <w:rsid w:val="00007A7B"/>
    <w:rsid w:val="00010E3D"/>
    <w:rsid w:val="000114B4"/>
    <w:rsid w:val="00011FC4"/>
    <w:rsid w:val="000126E1"/>
    <w:rsid w:val="000127A1"/>
    <w:rsid w:val="0001353B"/>
    <w:rsid w:val="000135A4"/>
    <w:rsid w:val="0001383B"/>
    <w:rsid w:val="0001403C"/>
    <w:rsid w:val="000141A3"/>
    <w:rsid w:val="00015459"/>
    <w:rsid w:val="000169C8"/>
    <w:rsid w:val="000170A2"/>
    <w:rsid w:val="0001797F"/>
    <w:rsid w:val="000212EF"/>
    <w:rsid w:val="00022F00"/>
    <w:rsid w:val="00022F1D"/>
    <w:rsid w:val="00023765"/>
    <w:rsid w:val="00023C1D"/>
    <w:rsid w:val="000243BC"/>
    <w:rsid w:val="0002457C"/>
    <w:rsid w:val="0002460E"/>
    <w:rsid w:val="00025379"/>
    <w:rsid w:val="00025B19"/>
    <w:rsid w:val="00025F95"/>
    <w:rsid w:val="0002610A"/>
    <w:rsid w:val="000264C9"/>
    <w:rsid w:val="000306DD"/>
    <w:rsid w:val="00031B4F"/>
    <w:rsid w:val="00031E14"/>
    <w:rsid w:val="00031F57"/>
    <w:rsid w:val="000322A1"/>
    <w:rsid w:val="000325C7"/>
    <w:rsid w:val="00032676"/>
    <w:rsid w:val="00032B7E"/>
    <w:rsid w:val="0003384F"/>
    <w:rsid w:val="00035A3A"/>
    <w:rsid w:val="0003702B"/>
    <w:rsid w:val="00040362"/>
    <w:rsid w:val="000403FA"/>
    <w:rsid w:val="0004095E"/>
    <w:rsid w:val="00041231"/>
    <w:rsid w:val="00041459"/>
    <w:rsid w:val="00043CC9"/>
    <w:rsid w:val="00045596"/>
    <w:rsid w:val="00045998"/>
    <w:rsid w:val="0004682E"/>
    <w:rsid w:val="00047D6E"/>
    <w:rsid w:val="00047DBA"/>
    <w:rsid w:val="00050F82"/>
    <w:rsid w:val="000516A4"/>
    <w:rsid w:val="000535B3"/>
    <w:rsid w:val="00053E21"/>
    <w:rsid w:val="00053F6E"/>
    <w:rsid w:val="000541CE"/>
    <w:rsid w:val="0005493B"/>
    <w:rsid w:val="0005522E"/>
    <w:rsid w:val="0005786D"/>
    <w:rsid w:val="00060E5A"/>
    <w:rsid w:val="00061FA6"/>
    <w:rsid w:val="00062652"/>
    <w:rsid w:val="00062C96"/>
    <w:rsid w:val="00064806"/>
    <w:rsid w:val="00064D6D"/>
    <w:rsid w:val="000658B1"/>
    <w:rsid w:val="00065ADD"/>
    <w:rsid w:val="00065CFF"/>
    <w:rsid w:val="000662BB"/>
    <w:rsid w:val="0006689A"/>
    <w:rsid w:val="00066AC3"/>
    <w:rsid w:val="00066BE8"/>
    <w:rsid w:val="0006731B"/>
    <w:rsid w:val="00067D06"/>
    <w:rsid w:val="0007120D"/>
    <w:rsid w:val="00071249"/>
    <w:rsid w:val="000723B4"/>
    <w:rsid w:val="000738CC"/>
    <w:rsid w:val="00073C7A"/>
    <w:rsid w:val="0007493E"/>
    <w:rsid w:val="000755C5"/>
    <w:rsid w:val="00076ABD"/>
    <w:rsid w:val="000770F2"/>
    <w:rsid w:val="00080384"/>
    <w:rsid w:val="00080A73"/>
    <w:rsid w:val="00080FA2"/>
    <w:rsid w:val="0008108B"/>
    <w:rsid w:val="000812BB"/>
    <w:rsid w:val="0008218A"/>
    <w:rsid w:val="000829B6"/>
    <w:rsid w:val="00082BAD"/>
    <w:rsid w:val="00083D38"/>
    <w:rsid w:val="00085DC2"/>
    <w:rsid w:val="00085FE6"/>
    <w:rsid w:val="0009086A"/>
    <w:rsid w:val="000919DB"/>
    <w:rsid w:val="000927B0"/>
    <w:rsid w:val="00092E7A"/>
    <w:rsid w:val="000931FE"/>
    <w:rsid w:val="00094C82"/>
    <w:rsid w:val="0009529B"/>
    <w:rsid w:val="00095570"/>
    <w:rsid w:val="00095644"/>
    <w:rsid w:val="000961D9"/>
    <w:rsid w:val="000968BC"/>
    <w:rsid w:val="00096D49"/>
    <w:rsid w:val="000973D1"/>
    <w:rsid w:val="00097D90"/>
    <w:rsid w:val="00097EC3"/>
    <w:rsid w:val="000A06EE"/>
    <w:rsid w:val="000A0D3A"/>
    <w:rsid w:val="000A1A3F"/>
    <w:rsid w:val="000A1E26"/>
    <w:rsid w:val="000A2362"/>
    <w:rsid w:val="000A26F6"/>
    <w:rsid w:val="000A2994"/>
    <w:rsid w:val="000A3702"/>
    <w:rsid w:val="000A38B9"/>
    <w:rsid w:val="000A43AC"/>
    <w:rsid w:val="000A4A25"/>
    <w:rsid w:val="000A4BFC"/>
    <w:rsid w:val="000A538A"/>
    <w:rsid w:val="000A6024"/>
    <w:rsid w:val="000A6B84"/>
    <w:rsid w:val="000A75FD"/>
    <w:rsid w:val="000A7CFD"/>
    <w:rsid w:val="000A7F4E"/>
    <w:rsid w:val="000B0821"/>
    <w:rsid w:val="000B1CAD"/>
    <w:rsid w:val="000B2331"/>
    <w:rsid w:val="000B2B8F"/>
    <w:rsid w:val="000B3540"/>
    <w:rsid w:val="000B4852"/>
    <w:rsid w:val="000B510D"/>
    <w:rsid w:val="000B61C7"/>
    <w:rsid w:val="000B6A72"/>
    <w:rsid w:val="000B728F"/>
    <w:rsid w:val="000B760F"/>
    <w:rsid w:val="000B7D41"/>
    <w:rsid w:val="000C0C5A"/>
    <w:rsid w:val="000C3202"/>
    <w:rsid w:val="000C42C5"/>
    <w:rsid w:val="000C4637"/>
    <w:rsid w:val="000C4802"/>
    <w:rsid w:val="000C4BDF"/>
    <w:rsid w:val="000C5312"/>
    <w:rsid w:val="000C5AAA"/>
    <w:rsid w:val="000C5BBD"/>
    <w:rsid w:val="000C6F70"/>
    <w:rsid w:val="000C7512"/>
    <w:rsid w:val="000C7FC2"/>
    <w:rsid w:val="000D273E"/>
    <w:rsid w:val="000D2A47"/>
    <w:rsid w:val="000D314C"/>
    <w:rsid w:val="000D4409"/>
    <w:rsid w:val="000D49E5"/>
    <w:rsid w:val="000D6CA5"/>
    <w:rsid w:val="000D74F3"/>
    <w:rsid w:val="000E00E0"/>
    <w:rsid w:val="000E369A"/>
    <w:rsid w:val="000E3B8E"/>
    <w:rsid w:val="000E3E1F"/>
    <w:rsid w:val="000E4314"/>
    <w:rsid w:val="000E6538"/>
    <w:rsid w:val="000F106C"/>
    <w:rsid w:val="000F1707"/>
    <w:rsid w:val="000F19FA"/>
    <w:rsid w:val="000F2082"/>
    <w:rsid w:val="000F29A8"/>
    <w:rsid w:val="000F2B73"/>
    <w:rsid w:val="000F2D7F"/>
    <w:rsid w:val="000F4A77"/>
    <w:rsid w:val="000F5F28"/>
    <w:rsid w:val="000F5F45"/>
    <w:rsid w:val="000F6518"/>
    <w:rsid w:val="000F7498"/>
    <w:rsid w:val="000F7D30"/>
    <w:rsid w:val="000F7EA5"/>
    <w:rsid w:val="00100207"/>
    <w:rsid w:val="001006B4"/>
    <w:rsid w:val="0010149A"/>
    <w:rsid w:val="0010430A"/>
    <w:rsid w:val="001043A0"/>
    <w:rsid w:val="00104A98"/>
    <w:rsid w:val="00104DCA"/>
    <w:rsid w:val="00107825"/>
    <w:rsid w:val="00107D8E"/>
    <w:rsid w:val="001104A9"/>
    <w:rsid w:val="00110690"/>
    <w:rsid w:val="00110DF0"/>
    <w:rsid w:val="00110E6E"/>
    <w:rsid w:val="00110F61"/>
    <w:rsid w:val="00111401"/>
    <w:rsid w:val="001117C8"/>
    <w:rsid w:val="0011180C"/>
    <w:rsid w:val="00111A97"/>
    <w:rsid w:val="001135D6"/>
    <w:rsid w:val="0011420F"/>
    <w:rsid w:val="0011456A"/>
    <w:rsid w:val="001145AC"/>
    <w:rsid w:val="001148E2"/>
    <w:rsid w:val="0011571E"/>
    <w:rsid w:val="00115FA1"/>
    <w:rsid w:val="00116115"/>
    <w:rsid w:val="00116BDD"/>
    <w:rsid w:val="0011793B"/>
    <w:rsid w:val="00117B3A"/>
    <w:rsid w:val="00122895"/>
    <w:rsid w:val="00122987"/>
    <w:rsid w:val="0012330F"/>
    <w:rsid w:val="00124ACB"/>
    <w:rsid w:val="001258B4"/>
    <w:rsid w:val="0012702E"/>
    <w:rsid w:val="00130C55"/>
    <w:rsid w:val="00130D2C"/>
    <w:rsid w:val="001313A3"/>
    <w:rsid w:val="00131589"/>
    <w:rsid w:val="00131BF5"/>
    <w:rsid w:val="00133E98"/>
    <w:rsid w:val="00134249"/>
    <w:rsid w:val="00135A5E"/>
    <w:rsid w:val="001360AB"/>
    <w:rsid w:val="00136C18"/>
    <w:rsid w:val="001373B2"/>
    <w:rsid w:val="00137A39"/>
    <w:rsid w:val="00137B53"/>
    <w:rsid w:val="00140A94"/>
    <w:rsid w:val="0014103C"/>
    <w:rsid w:val="0014209D"/>
    <w:rsid w:val="001425E2"/>
    <w:rsid w:val="00142C5C"/>
    <w:rsid w:val="001432F0"/>
    <w:rsid w:val="00144619"/>
    <w:rsid w:val="00144803"/>
    <w:rsid w:val="001458A5"/>
    <w:rsid w:val="00146ABE"/>
    <w:rsid w:val="001472BD"/>
    <w:rsid w:val="00147CBA"/>
    <w:rsid w:val="00150060"/>
    <w:rsid w:val="00150DA1"/>
    <w:rsid w:val="00152470"/>
    <w:rsid w:val="00153866"/>
    <w:rsid w:val="00154AAF"/>
    <w:rsid w:val="00154CF6"/>
    <w:rsid w:val="00154F0B"/>
    <w:rsid w:val="00155157"/>
    <w:rsid w:val="00155E97"/>
    <w:rsid w:val="0015688D"/>
    <w:rsid w:val="00160503"/>
    <w:rsid w:val="0016156F"/>
    <w:rsid w:val="00162926"/>
    <w:rsid w:val="00162A1C"/>
    <w:rsid w:val="00162F4D"/>
    <w:rsid w:val="001632F3"/>
    <w:rsid w:val="001637CF"/>
    <w:rsid w:val="00163D57"/>
    <w:rsid w:val="001642E6"/>
    <w:rsid w:val="00164FB8"/>
    <w:rsid w:val="001679A0"/>
    <w:rsid w:val="0017022A"/>
    <w:rsid w:val="00170272"/>
    <w:rsid w:val="00170CC6"/>
    <w:rsid w:val="00171421"/>
    <w:rsid w:val="001727B0"/>
    <w:rsid w:val="00172A19"/>
    <w:rsid w:val="00172A9D"/>
    <w:rsid w:val="001736AB"/>
    <w:rsid w:val="001736D9"/>
    <w:rsid w:val="00174ACF"/>
    <w:rsid w:val="00174E0E"/>
    <w:rsid w:val="00175AA8"/>
    <w:rsid w:val="001761BA"/>
    <w:rsid w:val="00176275"/>
    <w:rsid w:val="00180AE9"/>
    <w:rsid w:val="001815CD"/>
    <w:rsid w:val="00182300"/>
    <w:rsid w:val="001826DA"/>
    <w:rsid w:val="0018325F"/>
    <w:rsid w:val="00183427"/>
    <w:rsid w:val="00183B66"/>
    <w:rsid w:val="00184774"/>
    <w:rsid w:val="00184D2F"/>
    <w:rsid w:val="00186BF1"/>
    <w:rsid w:val="00187224"/>
    <w:rsid w:val="00187482"/>
    <w:rsid w:val="001876DF"/>
    <w:rsid w:val="0019048C"/>
    <w:rsid w:val="00192339"/>
    <w:rsid w:val="00193379"/>
    <w:rsid w:val="00194B8D"/>
    <w:rsid w:val="00194D46"/>
    <w:rsid w:val="00195829"/>
    <w:rsid w:val="00195E04"/>
    <w:rsid w:val="00195E5B"/>
    <w:rsid w:val="0019753B"/>
    <w:rsid w:val="001A0FD5"/>
    <w:rsid w:val="001A134E"/>
    <w:rsid w:val="001A42B4"/>
    <w:rsid w:val="001A4B36"/>
    <w:rsid w:val="001A4F16"/>
    <w:rsid w:val="001A53D2"/>
    <w:rsid w:val="001A55A3"/>
    <w:rsid w:val="001A5B8C"/>
    <w:rsid w:val="001A5EF8"/>
    <w:rsid w:val="001A7B2B"/>
    <w:rsid w:val="001A7F6E"/>
    <w:rsid w:val="001B08A4"/>
    <w:rsid w:val="001B1747"/>
    <w:rsid w:val="001B2D2A"/>
    <w:rsid w:val="001B36B7"/>
    <w:rsid w:val="001B4972"/>
    <w:rsid w:val="001B4CB9"/>
    <w:rsid w:val="001B5B78"/>
    <w:rsid w:val="001B5CEF"/>
    <w:rsid w:val="001B636E"/>
    <w:rsid w:val="001B6638"/>
    <w:rsid w:val="001B6E98"/>
    <w:rsid w:val="001B7175"/>
    <w:rsid w:val="001B7AE0"/>
    <w:rsid w:val="001B7D02"/>
    <w:rsid w:val="001C0F98"/>
    <w:rsid w:val="001C0FA9"/>
    <w:rsid w:val="001C13EF"/>
    <w:rsid w:val="001C1EED"/>
    <w:rsid w:val="001C1F41"/>
    <w:rsid w:val="001C20A1"/>
    <w:rsid w:val="001C2600"/>
    <w:rsid w:val="001C3B6B"/>
    <w:rsid w:val="001C43D8"/>
    <w:rsid w:val="001C49FE"/>
    <w:rsid w:val="001C581A"/>
    <w:rsid w:val="001C5D0A"/>
    <w:rsid w:val="001C7038"/>
    <w:rsid w:val="001C79B6"/>
    <w:rsid w:val="001C7A85"/>
    <w:rsid w:val="001C7BC7"/>
    <w:rsid w:val="001C7C4F"/>
    <w:rsid w:val="001D004D"/>
    <w:rsid w:val="001D0700"/>
    <w:rsid w:val="001D0F78"/>
    <w:rsid w:val="001D1A42"/>
    <w:rsid w:val="001D1D09"/>
    <w:rsid w:val="001D2252"/>
    <w:rsid w:val="001D2A88"/>
    <w:rsid w:val="001D312D"/>
    <w:rsid w:val="001D37E2"/>
    <w:rsid w:val="001D409E"/>
    <w:rsid w:val="001D4310"/>
    <w:rsid w:val="001D4373"/>
    <w:rsid w:val="001D5198"/>
    <w:rsid w:val="001D520E"/>
    <w:rsid w:val="001D5ED0"/>
    <w:rsid w:val="001D60AA"/>
    <w:rsid w:val="001D6A05"/>
    <w:rsid w:val="001D6B4D"/>
    <w:rsid w:val="001E059A"/>
    <w:rsid w:val="001E0B49"/>
    <w:rsid w:val="001E0B89"/>
    <w:rsid w:val="001E1694"/>
    <w:rsid w:val="001E2476"/>
    <w:rsid w:val="001E3136"/>
    <w:rsid w:val="001E3862"/>
    <w:rsid w:val="001E497F"/>
    <w:rsid w:val="001E4C09"/>
    <w:rsid w:val="001E5858"/>
    <w:rsid w:val="001E5D4F"/>
    <w:rsid w:val="001E66D6"/>
    <w:rsid w:val="001E6996"/>
    <w:rsid w:val="001E7154"/>
    <w:rsid w:val="001F0941"/>
    <w:rsid w:val="001F0F84"/>
    <w:rsid w:val="001F1293"/>
    <w:rsid w:val="001F2B68"/>
    <w:rsid w:val="001F3170"/>
    <w:rsid w:val="001F336D"/>
    <w:rsid w:val="001F4300"/>
    <w:rsid w:val="001F4414"/>
    <w:rsid w:val="001F4CF9"/>
    <w:rsid w:val="001F52B9"/>
    <w:rsid w:val="001F584D"/>
    <w:rsid w:val="001F71B1"/>
    <w:rsid w:val="00200891"/>
    <w:rsid w:val="00200F53"/>
    <w:rsid w:val="0020180B"/>
    <w:rsid w:val="00201BD5"/>
    <w:rsid w:val="0020250B"/>
    <w:rsid w:val="002027CF"/>
    <w:rsid w:val="002027D4"/>
    <w:rsid w:val="00203445"/>
    <w:rsid w:val="00204399"/>
    <w:rsid w:val="00204412"/>
    <w:rsid w:val="00204732"/>
    <w:rsid w:val="002048C0"/>
    <w:rsid w:val="00206B98"/>
    <w:rsid w:val="00206C3E"/>
    <w:rsid w:val="00207B7C"/>
    <w:rsid w:val="002101E3"/>
    <w:rsid w:val="00210F8F"/>
    <w:rsid w:val="00211227"/>
    <w:rsid w:val="00211768"/>
    <w:rsid w:val="002117CB"/>
    <w:rsid w:val="002130B9"/>
    <w:rsid w:val="0021493A"/>
    <w:rsid w:val="00216A03"/>
    <w:rsid w:val="00216FD4"/>
    <w:rsid w:val="0021745B"/>
    <w:rsid w:val="00217F52"/>
    <w:rsid w:val="0021B543"/>
    <w:rsid w:val="002205F9"/>
    <w:rsid w:val="002211C1"/>
    <w:rsid w:val="0022129D"/>
    <w:rsid w:val="002217B9"/>
    <w:rsid w:val="00221FCF"/>
    <w:rsid w:val="00221FE6"/>
    <w:rsid w:val="002224A2"/>
    <w:rsid w:val="00223CCC"/>
    <w:rsid w:val="0022507F"/>
    <w:rsid w:val="0022524F"/>
    <w:rsid w:val="0022544A"/>
    <w:rsid w:val="00225D63"/>
    <w:rsid w:val="002260F0"/>
    <w:rsid w:val="00226871"/>
    <w:rsid w:val="00226905"/>
    <w:rsid w:val="00230E14"/>
    <w:rsid w:val="00231355"/>
    <w:rsid w:val="0023144A"/>
    <w:rsid w:val="00231F87"/>
    <w:rsid w:val="00232CF4"/>
    <w:rsid w:val="0023318D"/>
    <w:rsid w:val="00233641"/>
    <w:rsid w:val="00234A16"/>
    <w:rsid w:val="00235DB1"/>
    <w:rsid w:val="002368E5"/>
    <w:rsid w:val="0023696C"/>
    <w:rsid w:val="00237DAE"/>
    <w:rsid w:val="002400AF"/>
    <w:rsid w:val="00240726"/>
    <w:rsid w:val="0024120D"/>
    <w:rsid w:val="00241EC8"/>
    <w:rsid w:val="0024242F"/>
    <w:rsid w:val="0024322E"/>
    <w:rsid w:val="00243495"/>
    <w:rsid w:val="002441EA"/>
    <w:rsid w:val="002442FC"/>
    <w:rsid w:val="00244EF9"/>
    <w:rsid w:val="00245157"/>
    <w:rsid w:val="0024580C"/>
    <w:rsid w:val="002459B5"/>
    <w:rsid w:val="00245D05"/>
    <w:rsid w:val="00245D72"/>
    <w:rsid w:val="00247747"/>
    <w:rsid w:val="00247ECA"/>
    <w:rsid w:val="00247F2F"/>
    <w:rsid w:val="00250BB4"/>
    <w:rsid w:val="00250C0F"/>
    <w:rsid w:val="00250FE9"/>
    <w:rsid w:val="00251909"/>
    <w:rsid w:val="00252824"/>
    <w:rsid w:val="00252865"/>
    <w:rsid w:val="00252AA7"/>
    <w:rsid w:val="00252EC3"/>
    <w:rsid w:val="0025327F"/>
    <w:rsid w:val="00253ECA"/>
    <w:rsid w:val="00254AC6"/>
    <w:rsid w:val="00254BE9"/>
    <w:rsid w:val="00255DDE"/>
    <w:rsid w:val="00255F6C"/>
    <w:rsid w:val="002571BB"/>
    <w:rsid w:val="002572DE"/>
    <w:rsid w:val="00257AC8"/>
    <w:rsid w:val="00257BFF"/>
    <w:rsid w:val="00257E8C"/>
    <w:rsid w:val="002603E2"/>
    <w:rsid w:val="002621F1"/>
    <w:rsid w:val="00262EF2"/>
    <w:rsid w:val="00263A28"/>
    <w:rsid w:val="00264BAB"/>
    <w:rsid w:val="00265371"/>
    <w:rsid w:val="00265587"/>
    <w:rsid w:val="0026565A"/>
    <w:rsid w:val="00265BB2"/>
    <w:rsid w:val="00266251"/>
    <w:rsid w:val="0026658A"/>
    <w:rsid w:val="00266A57"/>
    <w:rsid w:val="00266B7C"/>
    <w:rsid w:val="002670FC"/>
    <w:rsid w:val="0026798D"/>
    <w:rsid w:val="00267B16"/>
    <w:rsid w:val="00267C90"/>
    <w:rsid w:val="00267FA2"/>
    <w:rsid w:val="0027344A"/>
    <w:rsid w:val="00273BE6"/>
    <w:rsid w:val="002753DD"/>
    <w:rsid w:val="002755F0"/>
    <w:rsid w:val="00275711"/>
    <w:rsid w:val="00276478"/>
    <w:rsid w:val="0027776A"/>
    <w:rsid w:val="002778EB"/>
    <w:rsid w:val="00277D21"/>
    <w:rsid w:val="00277F75"/>
    <w:rsid w:val="00280B37"/>
    <w:rsid w:val="00282087"/>
    <w:rsid w:val="0028232C"/>
    <w:rsid w:val="0028313B"/>
    <w:rsid w:val="002837B7"/>
    <w:rsid w:val="00283E52"/>
    <w:rsid w:val="00285ED8"/>
    <w:rsid w:val="002861C0"/>
    <w:rsid w:val="0028679E"/>
    <w:rsid w:val="00286CD4"/>
    <w:rsid w:val="00286F1B"/>
    <w:rsid w:val="002875B5"/>
    <w:rsid w:val="0028769C"/>
    <w:rsid w:val="0028788E"/>
    <w:rsid w:val="00287CCA"/>
    <w:rsid w:val="00290874"/>
    <w:rsid w:val="00294073"/>
    <w:rsid w:val="002944F5"/>
    <w:rsid w:val="0029453D"/>
    <w:rsid w:val="002959D9"/>
    <w:rsid w:val="00295D6E"/>
    <w:rsid w:val="00296661"/>
    <w:rsid w:val="002966F9"/>
    <w:rsid w:val="00296C05"/>
    <w:rsid w:val="002978ED"/>
    <w:rsid w:val="002A0574"/>
    <w:rsid w:val="002A0A93"/>
    <w:rsid w:val="002A0C25"/>
    <w:rsid w:val="002A132D"/>
    <w:rsid w:val="002A2BBF"/>
    <w:rsid w:val="002A31F5"/>
    <w:rsid w:val="002A320C"/>
    <w:rsid w:val="002A320D"/>
    <w:rsid w:val="002A3696"/>
    <w:rsid w:val="002A3A28"/>
    <w:rsid w:val="002A415A"/>
    <w:rsid w:val="002A46C1"/>
    <w:rsid w:val="002A4EA3"/>
    <w:rsid w:val="002A4FD5"/>
    <w:rsid w:val="002A555F"/>
    <w:rsid w:val="002A55DE"/>
    <w:rsid w:val="002A581D"/>
    <w:rsid w:val="002A599F"/>
    <w:rsid w:val="002A5B2D"/>
    <w:rsid w:val="002A6741"/>
    <w:rsid w:val="002A6ABE"/>
    <w:rsid w:val="002A730E"/>
    <w:rsid w:val="002A736B"/>
    <w:rsid w:val="002A773C"/>
    <w:rsid w:val="002A7997"/>
    <w:rsid w:val="002B0774"/>
    <w:rsid w:val="002B11DF"/>
    <w:rsid w:val="002B12C8"/>
    <w:rsid w:val="002B2AC1"/>
    <w:rsid w:val="002B37A9"/>
    <w:rsid w:val="002B38FB"/>
    <w:rsid w:val="002B3900"/>
    <w:rsid w:val="002B69F6"/>
    <w:rsid w:val="002B6D91"/>
    <w:rsid w:val="002B765F"/>
    <w:rsid w:val="002B7B3C"/>
    <w:rsid w:val="002C18C2"/>
    <w:rsid w:val="002C2C5C"/>
    <w:rsid w:val="002C3506"/>
    <w:rsid w:val="002C3F9A"/>
    <w:rsid w:val="002C4827"/>
    <w:rsid w:val="002C4A62"/>
    <w:rsid w:val="002C4A81"/>
    <w:rsid w:val="002C55ED"/>
    <w:rsid w:val="002C5E41"/>
    <w:rsid w:val="002C61A9"/>
    <w:rsid w:val="002C6E93"/>
    <w:rsid w:val="002C7431"/>
    <w:rsid w:val="002C7D87"/>
    <w:rsid w:val="002D00E1"/>
    <w:rsid w:val="002D158A"/>
    <w:rsid w:val="002D1B2B"/>
    <w:rsid w:val="002D213B"/>
    <w:rsid w:val="002D26BE"/>
    <w:rsid w:val="002D331C"/>
    <w:rsid w:val="002D35E2"/>
    <w:rsid w:val="002D3769"/>
    <w:rsid w:val="002D461D"/>
    <w:rsid w:val="002D62BD"/>
    <w:rsid w:val="002D62DB"/>
    <w:rsid w:val="002D6CC2"/>
    <w:rsid w:val="002D70B3"/>
    <w:rsid w:val="002D7CC3"/>
    <w:rsid w:val="002E0806"/>
    <w:rsid w:val="002E146E"/>
    <w:rsid w:val="002E24CB"/>
    <w:rsid w:val="002E2B0A"/>
    <w:rsid w:val="002E2C48"/>
    <w:rsid w:val="002E2DD1"/>
    <w:rsid w:val="002E484C"/>
    <w:rsid w:val="002E4D86"/>
    <w:rsid w:val="002E68EA"/>
    <w:rsid w:val="002E6A48"/>
    <w:rsid w:val="002E6CFF"/>
    <w:rsid w:val="002E6E73"/>
    <w:rsid w:val="002E72C3"/>
    <w:rsid w:val="002F0E5B"/>
    <w:rsid w:val="002F12D8"/>
    <w:rsid w:val="002F2161"/>
    <w:rsid w:val="002F2334"/>
    <w:rsid w:val="002F23FB"/>
    <w:rsid w:val="002F273A"/>
    <w:rsid w:val="002F2E85"/>
    <w:rsid w:val="002F3206"/>
    <w:rsid w:val="002F3893"/>
    <w:rsid w:val="002F3D42"/>
    <w:rsid w:val="002F5FB2"/>
    <w:rsid w:val="002F6213"/>
    <w:rsid w:val="002F6DAE"/>
    <w:rsid w:val="002F6E49"/>
    <w:rsid w:val="002F7A54"/>
    <w:rsid w:val="003003F1"/>
    <w:rsid w:val="00302452"/>
    <w:rsid w:val="003034BB"/>
    <w:rsid w:val="00304275"/>
    <w:rsid w:val="00304290"/>
    <w:rsid w:val="00304509"/>
    <w:rsid w:val="00305373"/>
    <w:rsid w:val="003062D0"/>
    <w:rsid w:val="00306E6B"/>
    <w:rsid w:val="00310E03"/>
    <w:rsid w:val="00311CC0"/>
    <w:rsid w:val="00311CDB"/>
    <w:rsid w:val="00311FBB"/>
    <w:rsid w:val="003120A5"/>
    <w:rsid w:val="00312214"/>
    <w:rsid w:val="003123B4"/>
    <w:rsid w:val="00312B49"/>
    <w:rsid w:val="00312ED2"/>
    <w:rsid w:val="003145BD"/>
    <w:rsid w:val="003148E0"/>
    <w:rsid w:val="00315438"/>
    <w:rsid w:val="003159BA"/>
    <w:rsid w:val="003163F1"/>
    <w:rsid w:val="00317372"/>
    <w:rsid w:val="00320EFF"/>
    <w:rsid w:val="00322023"/>
    <w:rsid w:val="00322E36"/>
    <w:rsid w:val="00323BB0"/>
    <w:rsid w:val="00324B66"/>
    <w:rsid w:val="00324F04"/>
    <w:rsid w:val="00325871"/>
    <w:rsid w:val="00326854"/>
    <w:rsid w:val="00327FA6"/>
    <w:rsid w:val="003301C8"/>
    <w:rsid w:val="00331047"/>
    <w:rsid w:val="00331165"/>
    <w:rsid w:val="00331D26"/>
    <w:rsid w:val="00333219"/>
    <w:rsid w:val="0033323F"/>
    <w:rsid w:val="00333261"/>
    <w:rsid w:val="0033484E"/>
    <w:rsid w:val="00334911"/>
    <w:rsid w:val="00335420"/>
    <w:rsid w:val="0033566B"/>
    <w:rsid w:val="0033591C"/>
    <w:rsid w:val="00335CE7"/>
    <w:rsid w:val="00336B90"/>
    <w:rsid w:val="00336BD4"/>
    <w:rsid w:val="0034026D"/>
    <w:rsid w:val="00340DE7"/>
    <w:rsid w:val="0034127B"/>
    <w:rsid w:val="003414E5"/>
    <w:rsid w:val="003419D7"/>
    <w:rsid w:val="00341B47"/>
    <w:rsid w:val="00341E68"/>
    <w:rsid w:val="00342000"/>
    <w:rsid w:val="003426FB"/>
    <w:rsid w:val="003433F3"/>
    <w:rsid w:val="00343528"/>
    <w:rsid w:val="003439A7"/>
    <w:rsid w:val="00344563"/>
    <w:rsid w:val="00345586"/>
    <w:rsid w:val="00346389"/>
    <w:rsid w:val="003465D5"/>
    <w:rsid w:val="00347618"/>
    <w:rsid w:val="00347898"/>
    <w:rsid w:val="00347FFC"/>
    <w:rsid w:val="003502B4"/>
    <w:rsid w:val="00350364"/>
    <w:rsid w:val="00350C82"/>
    <w:rsid w:val="0035121D"/>
    <w:rsid w:val="00351FF2"/>
    <w:rsid w:val="003532A5"/>
    <w:rsid w:val="00353B7D"/>
    <w:rsid w:val="00354254"/>
    <w:rsid w:val="00354315"/>
    <w:rsid w:val="00354425"/>
    <w:rsid w:val="00355820"/>
    <w:rsid w:val="00356770"/>
    <w:rsid w:val="00356B27"/>
    <w:rsid w:val="00357032"/>
    <w:rsid w:val="00357FD9"/>
    <w:rsid w:val="0036042D"/>
    <w:rsid w:val="003615D9"/>
    <w:rsid w:val="0036194E"/>
    <w:rsid w:val="00363459"/>
    <w:rsid w:val="00363BAB"/>
    <w:rsid w:val="0036407F"/>
    <w:rsid w:val="00364B5E"/>
    <w:rsid w:val="00364DC9"/>
    <w:rsid w:val="0036526C"/>
    <w:rsid w:val="003655A6"/>
    <w:rsid w:val="003664D3"/>
    <w:rsid w:val="0036680D"/>
    <w:rsid w:val="003674F2"/>
    <w:rsid w:val="00367701"/>
    <w:rsid w:val="00367738"/>
    <w:rsid w:val="00367888"/>
    <w:rsid w:val="0036796C"/>
    <w:rsid w:val="0037058D"/>
    <w:rsid w:val="0037208F"/>
    <w:rsid w:val="003725D8"/>
    <w:rsid w:val="00375490"/>
    <w:rsid w:val="00376404"/>
    <w:rsid w:val="00376C80"/>
    <w:rsid w:val="00377364"/>
    <w:rsid w:val="003774DA"/>
    <w:rsid w:val="003814F7"/>
    <w:rsid w:val="003819C0"/>
    <w:rsid w:val="00381E85"/>
    <w:rsid w:val="00382309"/>
    <w:rsid w:val="00382F53"/>
    <w:rsid w:val="00382FD1"/>
    <w:rsid w:val="003834F3"/>
    <w:rsid w:val="00383E5C"/>
    <w:rsid w:val="00384351"/>
    <w:rsid w:val="0038454A"/>
    <w:rsid w:val="00384889"/>
    <w:rsid w:val="00384F49"/>
    <w:rsid w:val="00386290"/>
    <w:rsid w:val="003867BB"/>
    <w:rsid w:val="0039164D"/>
    <w:rsid w:val="0039232F"/>
    <w:rsid w:val="003927FA"/>
    <w:rsid w:val="0039288D"/>
    <w:rsid w:val="003930F6"/>
    <w:rsid w:val="00393C04"/>
    <w:rsid w:val="003950A9"/>
    <w:rsid w:val="0039552D"/>
    <w:rsid w:val="00395C86"/>
    <w:rsid w:val="003966E1"/>
    <w:rsid w:val="00396A38"/>
    <w:rsid w:val="0039796E"/>
    <w:rsid w:val="003A201F"/>
    <w:rsid w:val="003A2EF0"/>
    <w:rsid w:val="003A30D4"/>
    <w:rsid w:val="003A36F9"/>
    <w:rsid w:val="003A37CB"/>
    <w:rsid w:val="003A3A96"/>
    <w:rsid w:val="003A3B33"/>
    <w:rsid w:val="003A3DA9"/>
    <w:rsid w:val="003A54F0"/>
    <w:rsid w:val="003A6349"/>
    <w:rsid w:val="003A7A7E"/>
    <w:rsid w:val="003A7D04"/>
    <w:rsid w:val="003B020E"/>
    <w:rsid w:val="003B0BE6"/>
    <w:rsid w:val="003B1C2B"/>
    <w:rsid w:val="003B2425"/>
    <w:rsid w:val="003B26A7"/>
    <w:rsid w:val="003B4952"/>
    <w:rsid w:val="003B53DA"/>
    <w:rsid w:val="003B55CA"/>
    <w:rsid w:val="003B599F"/>
    <w:rsid w:val="003B5BD2"/>
    <w:rsid w:val="003B7FB6"/>
    <w:rsid w:val="003C1F67"/>
    <w:rsid w:val="003C3861"/>
    <w:rsid w:val="003C44CC"/>
    <w:rsid w:val="003C46CC"/>
    <w:rsid w:val="003C4C47"/>
    <w:rsid w:val="003C573C"/>
    <w:rsid w:val="003C7303"/>
    <w:rsid w:val="003D063D"/>
    <w:rsid w:val="003D0745"/>
    <w:rsid w:val="003D14DC"/>
    <w:rsid w:val="003D199F"/>
    <w:rsid w:val="003D3378"/>
    <w:rsid w:val="003D38DE"/>
    <w:rsid w:val="003D3A1A"/>
    <w:rsid w:val="003D3D5D"/>
    <w:rsid w:val="003D416B"/>
    <w:rsid w:val="003D49B6"/>
    <w:rsid w:val="003D4E86"/>
    <w:rsid w:val="003D51E0"/>
    <w:rsid w:val="003D5469"/>
    <w:rsid w:val="003D58BE"/>
    <w:rsid w:val="003D5B77"/>
    <w:rsid w:val="003D5C24"/>
    <w:rsid w:val="003D6E52"/>
    <w:rsid w:val="003D78E9"/>
    <w:rsid w:val="003D790D"/>
    <w:rsid w:val="003E02CF"/>
    <w:rsid w:val="003E0423"/>
    <w:rsid w:val="003E0BC3"/>
    <w:rsid w:val="003E2B2F"/>
    <w:rsid w:val="003E2F38"/>
    <w:rsid w:val="003E34D3"/>
    <w:rsid w:val="003E3D72"/>
    <w:rsid w:val="003E4489"/>
    <w:rsid w:val="003E44C8"/>
    <w:rsid w:val="003E4C48"/>
    <w:rsid w:val="003E5510"/>
    <w:rsid w:val="003E58E3"/>
    <w:rsid w:val="003E5B10"/>
    <w:rsid w:val="003E6E60"/>
    <w:rsid w:val="003E7073"/>
    <w:rsid w:val="003E7936"/>
    <w:rsid w:val="003F0C5C"/>
    <w:rsid w:val="003F0CD6"/>
    <w:rsid w:val="003F1343"/>
    <w:rsid w:val="003F3833"/>
    <w:rsid w:val="003F5155"/>
    <w:rsid w:val="003F5800"/>
    <w:rsid w:val="003F596F"/>
    <w:rsid w:val="003F698A"/>
    <w:rsid w:val="003F770B"/>
    <w:rsid w:val="00401FBC"/>
    <w:rsid w:val="00402C8A"/>
    <w:rsid w:val="00403304"/>
    <w:rsid w:val="004041B0"/>
    <w:rsid w:val="00404716"/>
    <w:rsid w:val="00404EB3"/>
    <w:rsid w:val="00405AA2"/>
    <w:rsid w:val="004061AA"/>
    <w:rsid w:val="0040713B"/>
    <w:rsid w:val="00407DAD"/>
    <w:rsid w:val="00410FC5"/>
    <w:rsid w:val="004117E1"/>
    <w:rsid w:val="00414E76"/>
    <w:rsid w:val="004154BD"/>
    <w:rsid w:val="00415F0A"/>
    <w:rsid w:val="00415F5E"/>
    <w:rsid w:val="00416C48"/>
    <w:rsid w:val="004170E4"/>
    <w:rsid w:val="004209A7"/>
    <w:rsid w:val="0042409E"/>
    <w:rsid w:val="00425BAC"/>
    <w:rsid w:val="00426154"/>
    <w:rsid w:val="00426894"/>
    <w:rsid w:val="00427163"/>
    <w:rsid w:val="00427B8C"/>
    <w:rsid w:val="00431A16"/>
    <w:rsid w:val="004320CF"/>
    <w:rsid w:val="004320E0"/>
    <w:rsid w:val="00432676"/>
    <w:rsid w:val="00433CA5"/>
    <w:rsid w:val="00433E47"/>
    <w:rsid w:val="00433F92"/>
    <w:rsid w:val="00434F29"/>
    <w:rsid w:val="004351E5"/>
    <w:rsid w:val="00435D97"/>
    <w:rsid w:val="00436A20"/>
    <w:rsid w:val="00437F25"/>
    <w:rsid w:val="00443D1E"/>
    <w:rsid w:val="0044404A"/>
    <w:rsid w:val="00444C24"/>
    <w:rsid w:val="004450C9"/>
    <w:rsid w:val="004455BA"/>
    <w:rsid w:val="00445657"/>
    <w:rsid w:val="00446F5B"/>
    <w:rsid w:val="004478AD"/>
    <w:rsid w:val="00447A72"/>
    <w:rsid w:val="00451610"/>
    <w:rsid w:val="00451A17"/>
    <w:rsid w:val="00451D49"/>
    <w:rsid w:val="00452278"/>
    <w:rsid w:val="0045250C"/>
    <w:rsid w:val="00453936"/>
    <w:rsid w:val="00453AF6"/>
    <w:rsid w:val="004540CE"/>
    <w:rsid w:val="004541C0"/>
    <w:rsid w:val="00454556"/>
    <w:rsid w:val="00454C06"/>
    <w:rsid w:val="00454C21"/>
    <w:rsid w:val="00454D6F"/>
    <w:rsid w:val="00454D7B"/>
    <w:rsid w:val="00456AA7"/>
    <w:rsid w:val="00457FDA"/>
    <w:rsid w:val="0046044F"/>
    <w:rsid w:val="004609FB"/>
    <w:rsid w:val="00461911"/>
    <w:rsid w:val="00462DBF"/>
    <w:rsid w:val="0046323C"/>
    <w:rsid w:val="0046412E"/>
    <w:rsid w:val="00466DE0"/>
    <w:rsid w:val="00467894"/>
    <w:rsid w:val="00467A7B"/>
    <w:rsid w:val="00470262"/>
    <w:rsid w:val="00470480"/>
    <w:rsid w:val="004709AB"/>
    <w:rsid w:val="00470BE9"/>
    <w:rsid w:val="00470D13"/>
    <w:rsid w:val="004716D6"/>
    <w:rsid w:val="00472461"/>
    <w:rsid w:val="004741EE"/>
    <w:rsid w:val="00475944"/>
    <w:rsid w:val="0047688C"/>
    <w:rsid w:val="00477151"/>
    <w:rsid w:val="00477F8C"/>
    <w:rsid w:val="00480504"/>
    <w:rsid w:val="00480919"/>
    <w:rsid w:val="004816CA"/>
    <w:rsid w:val="004816D5"/>
    <w:rsid w:val="0048407A"/>
    <w:rsid w:val="004846E2"/>
    <w:rsid w:val="00484D2E"/>
    <w:rsid w:val="00485D8A"/>
    <w:rsid w:val="004871E2"/>
    <w:rsid w:val="004873F3"/>
    <w:rsid w:val="00490493"/>
    <w:rsid w:val="0049082D"/>
    <w:rsid w:val="004909F3"/>
    <w:rsid w:val="00490DEF"/>
    <w:rsid w:val="00491D33"/>
    <w:rsid w:val="00491E54"/>
    <w:rsid w:val="00491FF1"/>
    <w:rsid w:val="00493145"/>
    <w:rsid w:val="00493974"/>
    <w:rsid w:val="00493AB1"/>
    <w:rsid w:val="0049400A"/>
    <w:rsid w:val="004949B3"/>
    <w:rsid w:val="0049505A"/>
    <w:rsid w:val="00495301"/>
    <w:rsid w:val="004961ED"/>
    <w:rsid w:val="0049629C"/>
    <w:rsid w:val="00497B5A"/>
    <w:rsid w:val="00497BA4"/>
    <w:rsid w:val="00497D8C"/>
    <w:rsid w:val="004A09F5"/>
    <w:rsid w:val="004A1704"/>
    <w:rsid w:val="004A2670"/>
    <w:rsid w:val="004A26D7"/>
    <w:rsid w:val="004A2C7D"/>
    <w:rsid w:val="004A406B"/>
    <w:rsid w:val="004A4EF2"/>
    <w:rsid w:val="004A6206"/>
    <w:rsid w:val="004A6292"/>
    <w:rsid w:val="004A63F2"/>
    <w:rsid w:val="004A7B50"/>
    <w:rsid w:val="004A7C07"/>
    <w:rsid w:val="004A7FE7"/>
    <w:rsid w:val="004B0900"/>
    <w:rsid w:val="004B0A21"/>
    <w:rsid w:val="004B0BAD"/>
    <w:rsid w:val="004B16A8"/>
    <w:rsid w:val="004B1EB7"/>
    <w:rsid w:val="004B237E"/>
    <w:rsid w:val="004B2389"/>
    <w:rsid w:val="004B5286"/>
    <w:rsid w:val="004B575C"/>
    <w:rsid w:val="004B6E00"/>
    <w:rsid w:val="004B74CC"/>
    <w:rsid w:val="004B7943"/>
    <w:rsid w:val="004B7CD9"/>
    <w:rsid w:val="004B8813"/>
    <w:rsid w:val="004C1F03"/>
    <w:rsid w:val="004C1F12"/>
    <w:rsid w:val="004C3168"/>
    <w:rsid w:val="004C500D"/>
    <w:rsid w:val="004C55CC"/>
    <w:rsid w:val="004C7596"/>
    <w:rsid w:val="004C76AE"/>
    <w:rsid w:val="004D1535"/>
    <w:rsid w:val="004D17BA"/>
    <w:rsid w:val="004D1AA0"/>
    <w:rsid w:val="004D25E3"/>
    <w:rsid w:val="004D2D78"/>
    <w:rsid w:val="004D3365"/>
    <w:rsid w:val="004D3AAB"/>
    <w:rsid w:val="004D3CF3"/>
    <w:rsid w:val="004D404D"/>
    <w:rsid w:val="004D487C"/>
    <w:rsid w:val="004D514A"/>
    <w:rsid w:val="004D64DD"/>
    <w:rsid w:val="004D655C"/>
    <w:rsid w:val="004D69A3"/>
    <w:rsid w:val="004D706C"/>
    <w:rsid w:val="004D7434"/>
    <w:rsid w:val="004D7886"/>
    <w:rsid w:val="004E082F"/>
    <w:rsid w:val="004E2884"/>
    <w:rsid w:val="004E2C37"/>
    <w:rsid w:val="004E46CD"/>
    <w:rsid w:val="004E5D55"/>
    <w:rsid w:val="004E63E6"/>
    <w:rsid w:val="004E70E9"/>
    <w:rsid w:val="004E736F"/>
    <w:rsid w:val="004E77A1"/>
    <w:rsid w:val="004E783D"/>
    <w:rsid w:val="004F06E2"/>
    <w:rsid w:val="004F07F0"/>
    <w:rsid w:val="004F1364"/>
    <w:rsid w:val="004F1834"/>
    <w:rsid w:val="004F2125"/>
    <w:rsid w:val="004F2576"/>
    <w:rsid w:val="004F2DEE"/>
    <w:rsid w:val="004F3203"/>
    <w:rsid w:val="004F3E32"/>
    <w:rsid w:val="004F460A"/>
    <w:rsid w:val="004F5290"/>
    <w:rsid w:val="004F5A06"/>
    <w:rsid w:val="004F5C1E"/>
    <w:rsid w:val="004F6858"/>
    <w:rsid w:val="004F6E07"/>
    <w:rsid w:val="004F6EDB"/>
    <w:rsid w:val="005015F0"/>
    <w:rsid w:val="00502687"/>
    <w:rsid w:val="00502745"/>
    <w:rsid w:val="00502759"/>
    <w:rsid w:val="0050288C"/>
    <w:rsid w:val="005029F4"/>
    <w:rsid w:val="00503606"/>
    <w:rsid w:val="0050437D"/>
    <w:rsid w:val="00505D5A"/>
    <w:rsid w:val="00506750"/>
    <w:rsid w:val="00506CC8"/>
    <w:rsid w:val="00510171"/>
    <w:rsid w:val="005107C5"/>
    <w:rsid w:val="00510864"/>
    <w:rsid w:val="00511695"/>
    <w:rsid w:val="00512023"/>
    <w:rsid w:val="00513BE5"/>
    <w:rsid w:val="00514C2D"/>
    <w:rsid w:val="00514D1B"/>
    <w:rsid w:val="00515AE2"/>
    <w:rsid w:val="005163E3"/>
    <w:rsid w:val="00516C69"/>
    <w:rsid w:val="00516F86"/>
    <w:rsid w:val="005177FA"/>
    <w:rsid w:val="00517989"/>
    <w:rsid w:val="005200D7"/>
    <w:rsid w:val="00521017"/>
    <w:rsid w:val="0052309A"/>
    <w:rsid w:val="00523539"/>
    <w:rsid w:val="005240DA"/>
    <w:rsid w:val="005240F2"/>
    <w:rsid w:val="00525044"/>
    <w:rsid w:val="00525B71"/>
    <w:rsid w:val="00525E9F"/>
    <w:rsid w:val="0052698A"/>
    <w:rsid w:val="005269B4"/>
    <w:rsid w:val="00527996"/>
    <w:rsid w:val="00527BB0"/>
    <w:rsid w:val="0053000C"/>
    <w:rsid w:val="005301C4"/>
    <w:rsid w:val="00530904"/>
    <w:rsid w:val="0053154E"/>
    <w:rsid w:val="005320B9"/>
    <w:rsid w:val="00532CB5"/>
    <w:rsid w:val="005334A5"/>
    <w:rsid w:val="00534F93"/>
    <w:rsid w:val="00535C53"/>
    <w:rsid w:val="0053683F"/>
    <w:rsid w:val="00536DB9"/>
    <w:rsid w:val="00536FC0"/>
    <w:rsid w:val="005370F7"/>
    <w:rsid w:val="00537A1D"/>
    <w:rsid w:val="0054062E"/>
    <w:rsid w:val="00540A42"/>
    <w:rsid w:val="00540D39"/>
    <w:rsid w:val="005419CE"/>
    <w:rsid w:val="00541FB2"/>
    <w:rsid w:val="005422F2"/>
    <w:rsid w:val="00544603"/>
    <w:rsid w:val="005450F9"/>
    <w:rsid w:val="00545F1C"/>
    <w:rsid w:val="005463B6"/>
    <w:rsid w:val="005470D9"/>
    <w:rsid w:val="00547972"/>
    <w:rsid w:val="00551244"/>
    <w:rsid w:val="005519F7"/>
    <w:rsid w:val="00551A2C"/>
    <w:rsid w:val="0055231E"/>
    <w:rsid w:val="00552423"/>
    <w:rsid w:val="00552567"/>
    <w:rsid w:val="005527CE"/>
    <w:rsid w:val="00553C21"/>
    <w:rsid w:val="00554BA8"/>
    <w:rsid w:val="00554F89"/>
    <w:rsid w:val="00556438"/>
    <w:rsid w:val="00556461"/>
    <w:rsid w:val="005575E0"/>
    <w:rsid w:val="005575FD"/>
    <w:rsid w:val="00557C82"/>
    <w:rsid w:val="0056128B"/>
    <w:rsid w:val="0056166D"/>
    <w:rsid w:val="00561AC2"/>
    <w:rsid w:val="0056260D"/>
    <w:rsid w:val="005629C0"/>
    <w:rsid w:val="0056313E"/>
    <w:rsid w:val="005633CA"/>
    <w:rsid w:val="00564634"/>
    <w:rsid w:val="005646A0"/>
    <w:rsid w:val="0056592C"/>
    <w:rsid w:val="00566148"/>
    <w:rsid w:val="0056619E"/>
    <w:rsid w:val="00566205"/>
    <w:rsid w:val="0056620C"/>
    <w:rsid w:val="00566224"/>
    <w:rsid w:val="005666E4"/>
    <w:rsid w:val="005672B6"/>
    <w:rsid w:val="00571884"/>
    <w:rsid w:val="00571ADD"/>
    <w:rsid w:val="0057212E"/>
    <w:rsid w:val="00573090"/>
    <w:rsid w:val="005737B4"/>
    <w:rsid w:val="00573D90"/>
    <w:rsid w:val="00574400"/>
    <w:rsid w:val="00575BB7"/>
    <w:rsid w:val="00576BF2"/>
    <w:rsid w:val="00576D69"/>
    <w:rsid w:val="00577608"/>
    <w:rsid w:val="00577DCD"/>
    <w:rsid w:val="00580760"/>
    <w:rsid w:val="00580762"/>
    <w:rsid w:val="00580C9C"/>
    <w:rsid w:val="00580E31"/>
    <w:rsid w:val="00580F52"/>
    <w:rsid w:val="00580FA2"/>
    <w:rsid w:val="005818FC"/>
    <w:rsid w:val="00582036"/>
    <w:rsid w:val="00582C8F"/>
    <w:rsid w:val="00582E37"/>
    <w:rsid w:val="00583070"/>
    <w:rsid w:val="00584387"/>
    <w:rsid w:val="00584A13"/>
    <w:rsid w:val="0058578E"/>
    <w:rsid w:val="005869CA"/>
    <w:rsid w:val="00586B81"/>
    <w:rsid w:val="00586C00"/>
    <w:rsid w:val="00587AA7"/>
    <w:rsid w:val="00587EE8"/>
    <w:rsid w:val="00590F23"/>
    <w:rsid w:val="00591C3B"/>
    <w:rsid w:val="0059387C"/>
    <w:rsid w:val="00593D0F"/>
    <w:rsid w:val="00594397"/>
    <w:rsid w:val="00594709"/>
    <w:rsid w:val="00594880"/>
    <w:rsid w:val="00594997"/>
    <w:rsid w:val="005954B0"/>
    <w:rsid w:val="005954EE"/>
    <w:rsid w:val="0059659B"/>
    <w:rsid w:val="00596B4C"/>
    <w:rsid w:val="0059704F"/>
    <w:rsid w:val="005974CA"/>
    <w:rsid w:val="005A1E48"/>
    <w:rsid w:val="005A25AB"/>
    <w:rsid w:val="005A2F55"/>
    <w:rsid w:val="005A3022"/>
    <w:rsid w:val="005A485D"/>
    <w:rsid w:val="005A5079"/>
    <w:rsid w:val="005A57A1"/>
    <w:rsid w:val="005A5884"/>
    <w:rsid w:val="005A744E"/>
    <w:rsid w:val="005A7677"/>
    <w:rsid w:val="005A7CE3"/>
    <w:rsid w:val="005A7D05"/>
    <w:rsid w:val="005B0A2F"/>
    <w:rsid w:val="005B0B90"/>
    <w:rsid w:val="005B0E0F"/>
    <w:rsid w:val="005B2534"/>
    <w:rsid w:val="005B28E3"/>
    <w:rsid w:val="005B2C58"/>
    <w:rsid w:val="005B3A2E"/>
    <w:rsid w:val="005B428D"/>
    <w:rsid w:val="005B5188"/>
    <w:rsid w:val="005B5643"/>
    <w:rsid w:val="005B58AB"/>
    <w:rsid w:val="005B64C8"/>
    <w:rsid w:val="005B781D"/>
    <w:rsid w:val="005B798F"/>
    <w:rsid w:val="005B7AD4"/>
    <w:rsid w:val="005B7B87"/>
    <w:rsid w:val="005B7BD3"/>
    <w:rsid w:val="005B7F1C"/>
    <w:rsid w:val="005C098C"/>
    <w:rsid w:val="005C0B29"/>
    <w:rsid w:val="005C126D"/>
    <w:rsid w:val="005C215A"/>
    <w:rsid w:val="005C22A5"/>
    <w:rsid w:val="005C2975"/>
    <w:rsid w:val="005C3168"/>
    <w:rsid w:val="005C4057"/>
    <w:rsid w:val="005C48CC"/>
    <w:rsid w:val="005C4910"/>
    <w:rsid w:val="005C560D"/>
    <w:rsid w:val="005C563D"/>
    <w:rsid w:val="005C6B81"/>
    <w:rsid w:val="005C705F"/>
    <w:rsid w:val="005C757A"/>
    <w:rsid w:val="005C77EE"/>
    <w:rsid w:val="005D001B"/>
    <w:rsid w:val="005D3768"/>
    <w:rsid w:val="005D4617"/>
    <w:rsid w:val="005D47D5"/>
    <w:rsid w:val="005D4E9E"/>
    <w:rsid w:val="005D4F4B"/>
    <w:rsid w:val="005D538A"/>
    <w:rsid w:val="005D53E2"/>
    <w:rsid w:val="005D57D9"/>
    <w:rsid w:val="005D68DE"/>
    <w:rsid w:val="005D7916"/>
    <w:rsid w:val="005D7A2C"/>
    <w:rsid w:val="005E1B86"/>
    <w:rsid w:val="005E24C3"/>
    <w:rsid w:val="005E2A6E"/>
    <w:rsid w:val="005E33AA"/>
    <w:rsid w:val="005E3FEA"/>
    <w:rsid w:val="005E4ED2"/>
    <w:rsid w:val="005E61D5"/>
    <w:rsid w:val="005E63FD"/>
    <w:rsid w:val="005E6F60"/>
    <w:rsid w:val="005E6FF2"/>
    <w:rsid w:val="005E762B"/>
    <w:rsid w:val="005F053F"/>
    <w:rsid w:val="005F07F6"/>
    <w:rsid w:val="005F0B59"/>
    <w:rsid w:val="005F0D04"/>
    <w:rsid w:val="005F21C1"/>
    <w:rsid w:val="005F2244"/>
    <w:rsid w:val="005F2591"/>
    <w:rsid w:val="005F2F1D"/>
    <w:rsid w:val="005F35D8"/>
    <w:rsid w:val="005F3947"/>
    <w:rsid w:val="005F4083"/>
    <w:rsid w:val="005F4AF8"/>
    <w:rsid w:val="005F4C5E"/>
    <w:rsid w:val="005F5090"/>
    <w:rsid w:val="005F54CD"/>
    <w:rsid w:val="005F6C65"/>
    <w:rsid w:val="005F76C9"/>
    <w:rsid w:val="005F775A"/>
    <w:rsid w:val="005F7850"/>
    <w:rsid w:val="005F7FCF"/>
    <w:rsid w:val="00600113"/>
    <w:rsid w:val="006001F5"/>
    <w:rsid w:val="0060155B"/>
    <w:rsid w:val="00601BAB"/>
    <w:rsid w:val="00602958"/>
    <w:rsid w:val="00604248"/>
    <w:rsid w:val="006047ED"/>
    <w:rsid w:val="0060487B"/>
    <w:rsid w:val="00605400"/>
    <w:rsid w:val="006057D3"/>
    <w:rsid w:val="00605EA3"/>
    <w:rsid w:val="006069FF"/>
    <w:rsid w:val="00606E71"/>
    <w:rsid w:val="00606FA5"/>
    <w:rsid w:val="006071F2"/>
    <w:rsid w:val="00607692"/>
    <w:rsid w:val="006108EE"/>
    <w:rsid w:val="00610B89"/>
    <w:rsid w:val="00611B8E"/>
    <w:rsid w:val="006124DC"/>
    <w:rsid w:val="006127BA"/>
    <w:rsid w:val="00612FB5"/>
    <w:rsid w:val="00613A9C"/>
    <w:rsid w:val="00614A46"/>
    <w:rsid w:val="00615462"/>
    <w:rsid w:val="00615F0E"/>
    <w:rsid w:val="0061654E"/>
    <w:rsid w:val="00616558"/>
    <w:rsid w:val="00616943"/>
    <w:rsid w:val="00616DF4"/>
    <w:rsid w:val="00617A5B"/>
    <w:rsid w:val="00620005"/>
    <w:rsid w:val="00620901"/>
    <w:rsid w:val="0062117B"/>
    <w:rsid w:val="00621E47"/>
    <w:rsid w:val="006232C3"/>
    <w:rsid w:val="006233E7"/>
    <w:rsid w:val="00623FA0"/>
    <w:rsid w:val="00624989"/>
    <w:rsid w:val="00624DB0"/>
    <w:rsid w:val="006252F5"/>
    <w:rsid w:val="00626815"/>
    <w:rsid w:val="00626C8D"/>
    <w:rsid w:val="00626D48"/>
    <w:rsid w:val="0062711B"/>
    <w:rsid w:val="006318B7"/>
    <w:rsid w:val="00632148"/>
    <w:rsid w:val="00633E24"/>
    <w:rsid w:val="0063413E"/>
    <w:rsid w:val="00635167"/>
    <w:rsid w:val="0063549A"/>
    <w:rsid w:val="00637E5B"/>
    <w:rsid w:val="00637FBA"/>
    <w:rsid w:val="00640795"/>
    <w:rsid w:val="00640C9C"/>
    <w:rsid w:val="00640CC9"/>
    <w:rsid w:val="0064260E"/>
    <w:rsid w:val="00643791"/>
    <w:rsid w:val="00644069"/>
    <w:rsid w:val="00645195"/>
    <w:rsid w:val="006456BE"/>
    <w:rsid w:val="00645939"/>
    <w:rsid w:val="00646C0D"/>
    <w:rsid w:val="00647576"/>
    <w:rsid w:val="0064772B"/>
    <w:rsid w:val="00651102"/>
    <w:rsid w:val="00651B3C"/>
    <w:rsid w:val="00651DDE"/>
    <w:rsid w:val="0065218C"/>
    <w:rsid w:val="00652691"/>
    <w:rsid w:val="00652699"/>
    <w:rsid w:val="00653009"/>
    <w:rsid w:val="006535F4"/>
    <w:rsid w:val="00654612"/>
    <w:rsid w:val="00656F1E"/>
    <w:rsid w:val="006578FE"/>
    <w:rsid w:val="006602E8"/>
    <w:rsid w:val="00660873"/>
    <w:rsid w:val="00660C7D"/>
    <w:rsid w:val="00661401"/>
    <w:rsid w:val="00663FF8"/>
    <w:rsid w:val="006644FB"/>
    <w:rsid w:val="00665706"/>
    <w:rsid w:val="0066598D"/>
    <w:rsid w:val="00665B8F"/>
    <w:rsid w:val="00665F4F"/>
    <w:rsid w:val="006736B0"/>
    <w:rsid w:val="00674F6F"/>
    <w:rsid w:val="00675979"/>
    <w:rsid w:val="00676D58"/>
    <w:rsid w:val="006771CF"/>
    <w:rsid w:val="0067753B"/>
    <w:rsid w:val="00677BF4"/>
    <w:rsid w:val="00677F0A"/>
    <w:rsid w:val="006802DC"/>
    <w:rsid w:val="00680D90"/>
    <w:rsid w:val="006812B1"/>
    <w:rsid w:val="00682477"/>
    <w:rsid w:val="00682A28"/>
    <w:rsid w:val="006838E8"/>
    <w:rsid w:val="00683DAC"/>
    <w:rsid w:val="00685095"/>
    <w:rsid w:val="00685928"/>
    <w:rsid w:val="00686010"/>
    <w:rsid w:val="0068647A"/>
    <w:rsid w:val="0068657E"/>
    <w:rsid w:val="00686817"/>
    <w:rsid w:val="00687A35"/>
    <w:rsid w:val="0068C936"/>
    <w:rsid w:val="00690BE6"/>
    <w:rsid w:val="0069187D"/>
    <w:rsid w:val="00692C00"/>
    <w:rsid w:val="006932C6"/>
    <w:rsid w:val="0069332D"/>
    <w:rsid w:val="006940EE"/>
    <w:rsid w:val="00694E16"/>
    <w:rsid w:val="00694FBE"/>
    <w:rsid w:val="0069578B"/>
    <w:rsid w:val="006A017E"/>
    <w:rsid w:val="006A0318"/>
    <w:rsid w:val="006A0C7D"/>
    <w:rsid w:val="006A0EC4"/>
    <w:rsid w:val="006A10B3"/>
    <w:rsid w:val="006A2F90"/>
    <w:rsid w:val="006A3D3C"/>
    <w:rsid w:val="006A4574"/>
    <w:rsid w:val="006A4AA8"/>
    <w:rsid w:val="006A4F27"/>
    <w:rsid w:val="006A54EA"/>
    <w:rsid w:val="006A5AD0"/>
    <w:rsid w:val="006A684A"/>
    <w:rsid w:val="006A6BDB"/>
    <w:rsid w:val="006A735B"/>
    <w:rsid w:val="006A7AE9"/>
    <w:rsid w:val="006B01E3"/>
    <w:rsid w:val="006B09B2"/>
    <w:rsid w:val="006B16ED"/>
    <w:rsid w:val="006B1ECD"/>
    <w:rsid w:val="006B2E5B"/>
    <w:rsid w:val="006B2F89"/>
    <w:rsid w:val="006B3E83"/>
    <w:rsid w:val="006B4266"/>
    <w:rsid w:val="006B4CDF"/>
    <w:rsid w:val="006B71DB"/>
    <w:rsid w:val="006B7A09"/>
    <w:rsid w:val="006C04FE"/>
    <w:rsid w:val="006C259E"/>
    <w:rsid w:val="006C2651"/>
    <w:rsid w:val="006C2654"/>
    <w:rsid w:val="006C44B8"/>
    <w:rsid w:val="006C51E3"/>
    <w:rsid w:val="006C54A3"/>
    <w:rsid w:val="006C6007"/>
    <w:rsid w:val="006C649C"/>
    <w:rsid w:val="006C6707"/>
    <w:rsid w:val="006C7C34"/>
    <w:rsid w:val="006C7C58"/>
    <w:rsid w:val="006D0746"/>
    <w:rsid w:val="006D0838"/>
    <w:rsid w:val="006D2677"/>
    <w:rsid w:val="006D2B29"/>
    <w:rsid w:val="006D2E22"/>
    <w:rsid w:val="006D2F7B"/>
    <w:rsid w:val="006D32E3"/>
    <w:rsid w:val="006D38D5"/>
    <w:rsid w:val="006D5A56"/>
    <w:rsid w:val="006D66FF"/>
    <w:rsid w:val="006D7744"/>
    <w:rsid w:val="006E03A8"/>
    <w:rsid w:val="006E0DEC"/>
    <w:rsid w:val="006E1119"/>
    <w:rsid w:val="006E13A7"/>
    <w:rsid w:val="006E2946"/>
    <w:rsid w:val="006E39A4"/>
    <w:rsid w:val="006E3AAF"/>
    <w:rsid w:val="006E3DB3"/>
    <w:rsid w:val="006E40FD"/>
    <w:rsid w:val="006E47A9"/>
    <w:rsid w:val="006E4B5E"/>
    <w:rsid w:val="006E4D10"/>
    <w:rsid w:val="006E4D39"/>
    <w:rsid w:val="006E669E"/>
    <w:rsid w:val="006E6DD9"/>
    <w:rsid w:val="006E7395"/>
    <w:rsid w:val="006F0879"/>
    <w:rsid w:val="006F088F"/>
    <w:rsid w:val="006F147A"/>
    <w:rsid w:val="006F20D0"/>
    <w:rsid w:val="006F230B"/>
    <w:rsid w:val="006F2724"/>
    <w:rsid w:val="006F2735"/>
    <w:rsid w:val="006F27A3"/>
    <w:rsid w:val="006F3956"/>
    <w:rsid w:val="006F4146"/>
    <w:rsid w:val="006F4B62"/>
    <w:rsid w:val="006F551B"/>
    <w:rsid w:val="006F61E7"/>
    <w:rsid w:val="00700B96"/>
    <w:rsid w:val="00701C5A"/>
    <w:rsid w:val="00703894"/>
    <w:rsid w:val="00703CCE"/>
    <w:rsid w:val="00704791"/>
    <w:rsid w:val="007047D2"/>
    <w:rsid w:val="00705969"/>
    <w:rsid w:val="007070ED"/>
    <w:rsid w:val="00707795"/>
    <w:rsid w:val="00710202"/>
    <w:rsid w:val="00710E31"/>
    <w:rsid w:val="0071169D"/>
    <w:rsid w:val="00712090"/>
    <w:rsid w:val="007123D9"/>
    <w:rsid w:val="00712CEF"/>
    <w:rsid w:val="00714998"/>
    <w:rsid w:val="00715446"/>
    <w:rsid w:val="00715D57"/>
    <w:rsid w:val="00716B95"/>
    <w:rsid w:val="007170CC"/>
    <w:rsid w:val="00717167"/>
    <w:rsid w:val="00717F59"/>
    <w:rsid w:val="00720064"/>
    <w:rsid w:val="007200BE"/>
    <w:rsid w:val="007200E8"/>
    <w:rsid w:val="007203D7"/>
    <w:rsid w:val="007214D7"/>
    <w:rsid w:val="00721541"/>
    <w:rsid w:val="00722AD4"/>
    <w:rsid w:val="00722C48"/>
    <w:rsid w:val="00722D13"/>
    <w:rsid w:val="00722D30"/>
    <w:rsid w:val="00722EFE"/>
    <w:rsid w:val="007234DB"/>
    <w:rsid w:val="00723E62"/>
    <w:rsid w:val="00724528"/>
    <w:rsid w:val="0072486C"/>
    <w:rsid w:val="00724DE0"/>
    <w:rsid w:val="00726E64"/>
    <w:rsid w:val="00727536"/>
    <w:rsid w:val="007277BE"/>
    <w:rsid w:val="00727D47"/>
    <w:rsid w:val="00730814"/>
    <w:rsid w:val="00730E29"/>
    <w:rsid w:val="007315A2"/>
    <w:rsid w:val="00732DD1"/>
    <w:rsid w:val="00733002"/>
    <w:rsid w:val="007330E2"/>
    <w:rsid w:val="007338BC"/>
    <w:rsid w:val="0073490A"/>
    <w:rsid w:val="00736192"/>
    <w:rsid w:val="00740601"/>
    <w:rsid w:val="00740802"/>
    <w:rsid w:val="00741063"/>
    <w:rsid w:val="00741AA3"/>
    <w:rsid w:val="00741E19"/>
    <w:rsid w:val="007420A8"/>
    <w:rsid w:val="00743B4D"/>
    <w:rsid w:val="0074447B"/>
    <w:rsid w:val="007455BF"/>
    <w:rsid w:val="00745A58"/>
    <w:rsid w:val="00746B20"/>
    <w:rsid w:val="00747D8A"/>
    <w:rsid w:val="00751A8D"/>
    <w:rsid w:val="00751FAB"/>
    <w:rsid w:val="007524A2"/>
    <w:rsid w:val="00752E00"/>
    <w:rsid w:val="00753315"/>
    <w:rsid w:val="007533D0"/>
    <w:rsid w:val="00753401"/>
    <w:rsid w:val="00753F46"/>
    <w:rsid w:val="0075402F"/>
    <w:rsid w:val="00754356"/>
    <w:rsid w:val="007546CC"/>
    <w:rsid w:val="00754F5B"/>
    <w:rsid w:val="007551D9"/>
    <w:rsid w:val="00755773"/>
    <w:rsid w:val="00755B5F"/>
    <w:rsid w:val="00756929"/>
    <w:rsid w:val="00756D40"/>
    <w:rsid w:val="007570BE"/>
    <w:rsid w:val="00757650"/>
    <w:rsid w:val="00757B35"/>
    <w:rsid w:val="0076128F"/>
    <w:rsid w:val="00761504"/>
    <w:rsid w:val="007616D2"/>
    <w:rsid w:val="00762403"/>
    <w:rsid w:val="007628FA"/>
    <w:rsid w:val="0076297E"/>
    <w:rsid w:val="0076337D"/>
    <w:rsid w:val="0076377D"/>
    <w:rsid w:val="0076392E"/>
    <w:rsid w:val="00763A62"/>
    <w:rsid w:val="0076406C"/>
    <w:rsid w:val="0076472D"/>
    <w:rsid w:val="00764AA6"/>
    <w:rsid w:val="00765B4B"/>
    <w:rsid w:val="007674B1"/>
    <w:rsid w:val="0076787C"/>
    <w:rsid w:val="007702B8"/>
    <w:rsid w:val="00771348"/>
    <w:rsid w:val="0077236D"/>
    <w:rsid w:val="0077377C"/>
    <w:rsid w:val="007779AD"/>
    <w:rsid w:val="00782B7E"/>
    <w:rsid w:val="00782C22"/>
    <w:rsid w:val="007831CE"/>
    <w:rsid w:val="0078428D"/>
    <w:rsid w:val="00784444"/>
    <w:rsid w:val="00784459"/>
    <w:rsid w:val="00784968"/>
    <w:rsid w:val="00784E06"/>
    <w:rsid w:val="00784E64"/>
    <w:rsid w:val="00784EF3"/>
    <w:rsid w:val="007863A6"/>
    <w:rsid w:val="00787632"/>
    <w:rsid w:val="00787670"/>
    <w:rsid w:val="00787A79"/>
    <w:rsid w:val="00787CCF"/>
    <w:rsid w:val="00790A6D"/>
    <w:rsid w:val="00790BB0"/>
    <w:rsid w:val="00793BED"/>
    <w:rsid w:val="00793DD0"/>
    <w:rsid w:val="00795682"/>
    <w:rsid w:val="007956A2"/>
    <w:rsid w:val="00795A7A"/>
    <w:rsid w:val="00795B4D"/>
    <w:rsid w:val="00796071"/>
    <w:rsid w:val="00797118"/>
    <w:rsid w:val="007A0B1F"/>
    <w:rsid w:val="007A0E6B"/>
    <w:rsid w:val="007A234C"/>
    <w:rsid w:val="007A28E8"/>
    <w:rsid w:val="007A2B5C"/>
    <w:rsid w:val="007A2EE0"/>
    <w:rsid w:val="007A3224"/>
    <w:rsid w:val="007A3351"/>
    <w:rsid w:val="007A3D4C"/>
    <w:rsid w:val="007A3E60"/>
    <w:rsid w:val="007A3E92"/>
    <w:rsid w:val="007A5215"/>
    <w:rsid w:val="007A6187"/>
    <w:rsid w:val="007A6C6B"/>
    <w:rsid w:val="007A6FA8"/>
    <w:rsid w:val="007A74D9"/>
    <w:rsid w:val="007A755B"/>
    <w:rsid w:val="007A757F"/>
    <w:rsid w:val="007A78EE"/>
    <w:rsid w:val="007B08D3"/>
    <w:rsid w:val="007B16B0"/>
    <w:rsid w:val="007B1A95"/>
    <w:rsid w:val="007B1F1D"/>
    <w:rsid w:val="007B26E0"/>
    <w:rsid w:val="007B28AF"/>
    <w:rsid w:val="007B2D9F"/>
    <w:rsid w:val="007B505A"/>
    <w:rsid w:val="007B523C"/>
    <w:rsid w:val="007B6768"/>
    <w:rsid w:val="007B6BC1"/>
    <w:rsid w:val="007C0A2D"/>
    <w:rsid w:val="007C0E51"/>
    <w:rsid w:val="007C11F1"/>
    <w:rsid w:val="007C12D4"/>
    <w:rsid w:val="007C15A6"/>
    <w:rsid w:val="007C1D79"/>
    <w:rsid w:val="007C290E"/>
    <w:rsid w:val="007C2BB8"/>
    <w:rsid w:val="007C3162"/>
    <w:rsid w:val="007C40E4"/>
    <w:rsid w:val="007C4475"/>
    <w:rsid w:val="007C4DF9"/>
    <w:rsid w:val="007C4E21"/>
    <w:rsid w:val="007C5901"/>
    <w:rsid w:val="007C5BE9"/>
    <w:rsid w:val="007C7BA7"/>
    <w:rsid w:val="007C7C8E"/>
    <w:rsid w:val="007D1040"/>
    <w:rsid w:val="007D20DF"/>
    <w:rsid w:val="007D2E9A"/>
    <w:rsid w:val="007D3F88"/>
    <w:rsid w:val="007D45D8"/>
    <w:rsid w:val="007D5677"/>
    <w:rsid w:val="007D63FD"/>
    <w:rsid w:val="007D7463"/>
    <w:rsid w:val="007E09DC"/>
    <w:rsid w:val="007E213D"/>
    <w:rsid w:val="007E26B8"/>
    <w:rsid w:val="007E28F7"/>
    <w:rsid w:val="007E2EDE"/>
    <w:rsid w:val="007E3521"/>
    <w:rsid w:val="007E3E49"/>
    <w:rsid w:val="007E43F1"/>
    <w:rsid w:val="007E445A"/>
    <w:rsid w:val="007E4BDD"/>
    <w:rsid w:val="007E4F0F"/>
    <w:rsid w:val="007E4FEA"/>
    <w:rsid w:val="007E537E"/>
    <w:rsid w:val="007E63CC"/>
    <w:rsid w:val="007E70BC"/>
    <w:rsid w:val="007E72D2"/>
    <w:rsid w:val="007F1C4A"/>
    <w:rsid w:val="007F21CB"/>
    <w:rsid w:val="007F3EDB"/>
    <w:rsid w:val="007F4585"/>
    <w:rsid w:val="007F5184"/>
    <w:rsid w:val="007F54CF"/>
    <w:rsid w:val="007F5C4B"/>
    <w:rsid w:val="007F67B4"/>
    <w:rsid w:val="007F6E6A"/>
    <w:rsid w:val="007F711E"/>
    <w:rsid w:val="007F7969"/>
    <w:rsid w:val="007F7F1B"/>
    <w:rsid w:val="008000DC"/>
    <w:rsid w:val="0080039C"/>
    <w:rsid w:val="008008B1"/>
    <w:rsid w:val="00800AC9"/>
    <w:rsid w:val="00800D58"/>
    <w:rsid w:val="00801B5C"/>
    <w:rsid w:val="00801C26"/>
    <w:rsid w:val="00801D56"/>
    <w:rsid w:val="00802AEB"/>
    <w:rsid w:val="00803086"/>
    <w:rsid w:val="008030E1"/>
    <w:rsid w:val="00803760"/>
    <w:rsid w:val="00803F16"/>
    <w:rsid w:val="00805F05"/>
    <w:rsid w:val="0080615C"/>
    <w:rsid w:val="00806926"/>
    <w:rsid w:val="0080713A"/>
    <w:rsid w:val="00807783"/>
    <w:rsid w:val="008077A3"/>
    <w:rsid w:val="0081066C"/>
    <w:rsid w:val="00810C0E"/>
    <w:rsid w:val="0081214D"/>
    <w:rsid w:val="00813566"/>
    <w:rsid w:val="00813B00"/>
    <w:rsid w:val="00813E46"/>
    <w:rsid w:val="00814293"/>
    <w:rsid w:val="008148CA"/>
    <w:rsid w:val="0081564F"/>
    <w:rsid w:val="00816087"/>
    <w:rsid w:val="00816A8B"/>
    <w:rsid w:val="00817398"/>
    <w:rsid w:val="0081751B"/>
    <w:rsid w:val="0082052E"/>
    <w:rsid w:val="00822660"/>
    <w:rsid w:val="008230BB"/>
    <w:rsid w:val="00823180"/>
    <w:rsid w:val="008238FB"/>
    <w:rsid w:val="00823EBA"/>
    <w:rsid w:val="008253BA"/>
    <w:rsid w:val="00826EC1"/>
    <w:rsid w:val="008276E8"/>
    <w:rsid w:val="00827D95"/>
    <w:rsid w:val="00830121"/>
    <w:rsid w:val="00831A38"/>
    <w:rsid w:val="00832418"/>
    <w:rsid w:val="008326F1"/>
    <w:rsid w:val="008329C8"/>
    <w:rsid w:val="00833283"/>
    <w:rsid w:val="00833309"/>
    <w:rsid w:val="008334BB"/>
    <w:rsid w:val="008336C9"/>
    <w:rsid w:val="0083450C"/>
    <w:rsid w:val="008349EC"/>
    <w:rsid w:val="00834A59"/>
    <w:rsid w:val="00834D18"/>
    <w:rsid w:val="008350F3"/>
    <w:rsid w:val="00835977"/>
    <w:rsid w:val="0083623C"/>
    <w:rsid w:val="00836429"/>
    <w:rsid w:val="008366EF"/>
    <w:rsid w:val="008366F3"/>
    <w:rsid w:val="00836A37"/>
    <w:rsid w:val="00836C1D"/>
    <w:rsid w:val="00836D95"/>
    <w:rsid w:val="008378B5"/>
    <w:rsid w:val="00840355"/>
    <w:rsid w:val="0084050B"/>
    <w:rsid w:val="00840CE6"/>
    <w:rsid w:val="00841DF3"/>
    <w:rsid w:val="00842323"/>
    <w:rsid w:val="00842340"/>
    <w:rsid w:val="00842B1D"/>
    <w:rsid w:val="0084387B"/>
    <w:rsid w:val="00843E8D"/>
    <w:rsid w:val="00844212"/>
    <w:rsid w:val="00845216"/>
    <w:rsid w:val="0084544D"/>
    <w:rsid w:val="0084568B"/>
    <w:rsid w:val="0084666C"/>
    <w:rsid w:val="0084733D"/>
    <w:rsid w:val="00847437"/>
    <w:rsid w:val="00850DD2"/>
    <w:rsid w:val="0085168C"/>
    <w:rsid w:val="00852D5C"/>
    <w:rsid w:val="0085317B"/>
    <w:rsid w:val="00853496"/>
    <w:rsid w:val="00853696"/>
    <w:rsid w:val="008541CC"/>
    <w:rsid w:val="00854D69"/>
    <w:rsid w:val="0085555F"/>
    <w:rsid w:val="00857402"/>
    <w:rsid w:val="008575E4"/>
    <w:rsid w:val="0085764B"/>
    <w:rsid w:val="0086048B"/>
    <w:rsid w:val="00861B21"/>
    <w:rsid w:val="00861D61"/>
    <w:rsid w:val="008621D4"/>
    <w:rsid w:val="0086225B"/>
    <w:rsid w:val="00862544"/>
    <w:rsid w:val="00862745"/>
    <w:rsid w:val="00862CB6"/>
    <w:rsid w:val="00862E61"/>
    <w:rsid w:val="00863E6C"/>
    <w:rsid w:val="008662FD"/>
    <w:rsid w:val="008667F8"/>
    <w:rsid w:val="0086741E"/>
    <w:rsid w:val="008710A7"/>
    <w:rsid w:val="0087149D"/>
    <w:rsid w:val="00871D93"/>
    <w:rsid w:val="008722F6"/>
    <w:rsid w:val="00872D3F"/>
    <w:rsid w:val="00873C6C"/>
    <w:rsid w:val="00874E3A"/>
    <w:rsid w:val="00874F83"/>
    <w:rsid w:val="008756B4"/>
    <w:rsid w:val="0087676D"/>
    <w:rsid w:val="008768EC"/>
    <w:rsid w:val="00876E7A"/>
    <w:rsid w:val="008772B9"/>
    <w:rsid w:val="00880189"/>
    <w:rsid w:val="008828C6"/>
    <w:rsid w:val="0088330D"/>
    <w:rsid w:val="008833CE"/>
    <w:rsid w:val="00883B04"/>
    <w:rsid w:val="00883C66"/>
    <w:rsid w:val="0088464E"/>
    <w:rsid w:val="0088507E"/>
    <w:rsid w:val="00886353"/>
    <w:rsid w:val="00886BCE"/>
    <w:rsid w:val="008871E5"/>
    <w:rsid w:val="008879AF"/>
    <w:rsid w:val="00887CD8"/>
    <w:rsid w:val="00891991"/>
    <w:rsid w:val="00891D44"/>
    <w:rsid w:val="00892027"/>
    <w:rsid w:val="008922DB"/>
    <w:rsid w:val="00893FD1"/>
    <w:rsid w:val="008949C4"/>
    <w:rsid w:val="008968D4"/>
    <w:rsid w:val="00896B22"/>
    <w:rsid w:val="00897548"/>
    <w:rsid w:val="00897941"/>
    <w:rsid w:val="008A0013"/>
    <w:rsid w:val="008A0947"/>
    <w:rsid w:val="008A0B62"/>
    <w:rsid w:val="008A106F"/>
    <w:rsid w:val="008A1E68"/>
    <w:rsid w:val="008A29EE"/>
    <w:rsid w:val="008A3A66"/>
    <w:rsid w:val="008A452D"/>
    <w:rsid w:val="008A603F"/>
    <w:rsid w:val="008A6386"/>
    <w:rsid w:val="008A63BA"/>
    <w:rsid w:val="008A6938"/>
    <w:rsid w:val="008A6D29"/>
    <w:rsid w:val="008A6D97"/>
    <w:rsid w:val="008A6E60"/>
    <w:rsid w:val="008A7552"/>
    <w:rsid w:val="008B13DB"/>
    <w:rsid w:val="008B2325"/>
    <w:rsid w:val="008B2DFA"/>
    <w:rsid w:val="008B49FB"/>
    <w:rsid w:val="008B4CDF"/>
    <w:rsid w:val="008B552C"/>
    <w:rsid w:val="008B5765"/>
    <w:rsid w:val="008B5DEA"/>
    <w:rsid w:val="008B682D"/>
    <w:rsid w:val="008B6E93"/>
    <w:rsid w:val="008B75D4"/>
    <w:rsid w:val="008B77A4"/>
    <w:rsid w:val="008B7AD7"/>
    <w:rsid w:val="008C074A"/>
    <w:rsid w:val="008C1221"/>
    <w:rsid w:val="008C165D"/>
    <w:rsid w:val="008C1981"/>
    <w:rsid w:val="008C1B82"/>
    <w:rsid w:val="008C1DE5"/>
    <w:rsid w:val="008C2ED3"/>
    <w:rsid w:val="008C347E"/>
    <w:rsid w:val="008C4054"/>
    <w:rsid w:val="008C4BCD"/>
    <w:rsid w:val="008C56DE"/>
    <w:rsid w:val="008C57C4"/>
    <w:rsid w:val="008C5AA1"/>
    <w:rsid w:val="008C5F41"/>
    <w:rsid w:val="008C671D"/>
    <w:rsid w:val="008C6BA2"/>
    <w:rsid w:val="008C76BD"/>
    <w:rsid w:val="008C7A10"/>
    <w:rsid w:val="008D0478"/>
    <w:rsid w:val="008D1916"/>
    <w:rsid w:val="008D19FA"/>
    <w:rsid w:val="008D1DBC"/>
    <w:rsid w:val="008D2095"/>
    <w:rsid w:val="008D2F7B"/>
    <w:rsid w:val="008D3408"/>
    <w:rsid w:val="008D3D9F"/>
    <w:rsid w:val="008D4701"/>
    <w:rsid w:val="008D4961"/>
    <w:rsid w:val="008D6D37"/>
    <w:rsid w:val="008D7041"/>
    <w:rsid w:val="008D72B6"/>
    <w:rsid w:val="008D7F49"/>
    <w:rsid w:val="008E086F"/>
    <w:rsid w:val="008E0AA0"/>
    <w:rsid w:val="008E0C14"/>
    <w:rsid w:val="008E1075"/>
    <w:rsid w:val="008E1B6D"/>
    <w:rsid w:val="008E218B"/>
    <w:rsid w:val="008E241F"/>
    <w:rsid w:val="008E2516"/>
    <w:rsid w:val="008E2E4D"/>
    <w:rsid w:val="008E40F0"/>
    <w:rsid w:val="008E45D3"/>
    <w:rsid w:val="008E4DA8"/>
    <w:rsid w:val="008E538B"/>
    <w:rsid w:val="008E559B"/>
    <w:rsid w:val="008E5A8B"/>
    <w:rsid w:val="008E5DA5"/>
    <w:rsid w:val="008E6088"/>
    <w:rsid w:val="008E78E4"/>
    <w:rsid w:val="008E7B14"/>
    <w:rsid w:val="008E7D1F"/>
    <w:rsid w:val="008F0592"/>
    <w:rsid w:val="008F0902"/>
    <w:rsid w:val="008F0BC4"/>
    <w:rsid w:val="008F15EE"/>
    <w:rsid w:val="008F1666"/>
    <w:rsid w:val="008F2DE4"/>
    <w:rsid w:val="008F49E9"/>
    <w:rsid w:val="008F4B57"/>
    <w:rsid w:val="008F4D9F"/>
    <w:rsid w:val="008F619F"/>
    <w:rsid w:val="008F67C7"/>
    <w:rsid w:val="008F7147"/>
    <w:rsid w:val="008F7275"/>
    <w:rsid w:val="008F77CA"/>
    <w:rsid w:val="008F7EAB"/>
    <w:rsid w:val="0090198E"/>
    <w:rsid w:val="00902215"/>
    <w:rsid w:val="00902801"/>
    <w:rsid w:val="00902D22"/>
    <w:rsid w:val="00902D48"/>
    <w:rsid w:val="00904D1E"/>
    <w:rsid w:val="00906B48"/>
    <w:rsid w:val="009073ED"/>
    <w:rsid w:val="00907BBE"/>
    <w:rsid w:val="00910F80"/>
    <w:rsid w:val="009143D7"/>
    <w:rsid w:val="0091465A"/>
    <w:rsid w:val="0091579D"/>
    <w:rsid w:val="00916443"/>
    <w:rsid w:val="00916E12"/>
    <w:rsid w:val="0092144C"/>
    <w:rsid w:val="009242E0"/>
    <w:rsid w:val="009243F5"/>
    <w:rsid w:val="00925036"/>
    <w:rsid w:val="0092577F"/>
    <w:rsid w:val="00926760"/>
    <w:rsid w:val="00926996"/>
    <w:rsid w:val="00927434"/>
    <w:rsid w:val="00927596"/>
    <w:rsid w:val="009276BA"/>
    <w:rsid w:val="009277E1"/>
    <w:rsid w:val="009306E5"/>
    <w:rsid w:val="0093131D"/>
    <w:rsid w:val="009325B2"/>
    <w:rsid w:val="00932C32"/>
    <w:rsid w:val="0093371F"/>
    <w:rsid w:val="00933C0E"/>
    <w:rsid w:val="00934026"/>
    <w:rsid w:val="0093413B"/>
    <w:rsid w:val="009353E1"/>
    <w:rsid w:val="009364A6"/>
    <w:rsid w:val="00937573"/>
    <w:rsid w:val="00937997"/>
    <w:rsid w:val="00937EEF"/>
    <w:rsid w:val="00943FDD"/>
    <w:rsid w:val="00944FAC"/>
    <w:rsid w:val="00945036"/>
    <w:rsid w:val="009466D5"/>
    <w:rsid w:val="00946EB4"/>
    <w:rsid w:val="00947A9B"/>
    <w:rsid w:val="0095027E"/>
    <w:rsid w:val="00952315"/>
    <w:rsid w:val="00952F1B"/>
    <w:rsid w:val="00953138"/>
    <w:rsid w:val="00953154"/>
    <w:rsid w:val="009557C8"/>
    <w:rsid w:val="00956930"/>
    <w:rsid w:val="00956F1B"/>
    <w:rsid w:val="00957BC0"/>
    <w:rsid w:val="00957F84"/>
    <w:rsid w:val="00960F3F"/>
    <w:rsid w:val="00961670"/>
    <w:rsid w:val="00961901"/>
    <w:rsid w:val="00962EB3"/>
    <w:rsid w:val="00963B86"/>
    <w:rsid w:val="00963E57"/>
    <w:rsid w:val="0096526F"/>
    <w:rsid w:val="009660C1"/>
    <w:rsid w:val="009670E3"/>
    <w:rsid w:val="00967BA3"/>
    <w:rsid w:val="009707CF"/>
    <w:rsid w:val="00970D18"/>
    <w:rsid w:val="00970D9D"/>
    <w:rsid w:val="009725F9"/>
    <w:rsid w:val="00972AB9"/>
    <w:rsid w:val="009738DB"/>
    <w:rsid w:val="00976517"/>
    <w:rsid w:val="0098009B"/>
    <w:rsid w:val="00980467"/>
    <w:rsid w:val="00981E7C"/>
    <w:rsid w:val="009824BF"/>
    <w:rsid w:val="00982D95"/>
    <w:rsid w:val="009832B1"/>
    <w:rsid w:val="009837FB"/>
    <w:rsid w:val="00983929"/>
    <w:rsid w:val="00983B16"/>
    <w:rsid w:val="00984471"/>
    <w:rsid w:val="00984ED9"/>
    <w:rsid w:val="00985F76"/>
    <w:rsid w:val="00985FE0"/>
    <w:rsid w:val="00987112"/>
    <w:rsid w:val="009874D3"/>
    <w:rsid w:val="00987A5E"/>
    <w:rsid w:val="00987C09"/>
    <w:rsid w:val="00990B9C"/>
    <w:rsid w:val="00991C43"/>
    <w:rsid w:val="0099307F"/>
    <w:rsid w:val="009945B0"/>
    <w:rsid w:val="009946DE"/>
    <w:rsid w:val="00994C67"/>
    <w:rsid w:val="00995052"/>
    <w:rsid w:val="00995234"/>
    <w:rsid w:val="00996255"/>
    <w:rsid w:val="00997A6B"/>
    <w:rsid w:val="00997D0C"/>
    <w:rsid w:val="009A017D"/>
    <w:rsid w:val="009A0608"/>
    <w:rsid w:val="009A16A1"/>
    <w:rsid w:val="009A1B1B"/>
    <w:rsid w:val="009A1E4F"/>
    <w:rsid w:val="009A1EEB"/>
    <w:rsid w:val="009A1F47"/>
    <w:rsid w:val="009A2288"/>
    <w:rsid w:val="009A27F8"/>
    <w:rsid w:val="009A2DAC"/>
    <w:rsid w:val="009A3F24"/>
    <w:rsid w:val="009A55FB"/>
    <w:rsid w:val="009A5A42"/>
    <w:rsid w:val="009A6394"/>
    <w:rsid w:val="009A6747"/>
    <w:rsid w:val="009A677F"/>
    <w:rsid w:val="009A70A7"/>
    <w:rsid w:val="009A7BD5"/>
    <w:rsid w:val="009B0138"/>
    <w:rsid w:val="009B02FA"/>
    <w:rsid w:val="009B08D6"/>
    <w:rsid w:val="009B0D02"/>
    <w:rsid w:val="009B184E"/>
    <w:rsid w:val="009B2104"/>
    <w:rsid w:val="009B223B"/>
    <w:rsid w:val="009B2BEE"/>
    <w:rsid w:val="009B30F3"/>
    <w:rsid w:val="009B31CC"/>
    <w:rsid w:val="009B3D3D"/>
    <w:rsid w:val="009B45BF"/>
    <w:rsid w:val="009B4D6D"/>
    <w:rsid w:val="009B56BA"/>
    <w:rsid w:val="009B6016"/>
    <w:rsid w:val="009B64B0"/>
    <w:rsid w:val="009B690B"/>
    <w:rsid w:val="009B71F5"/>
    <w:rsid w:val="009B79D5"/>
    <w:rsid w:val="009C0820"/>
    <w:rsid w:val="009C0F4E"/>
    <w:rsid w:val="009C29A3"/>
    <w:rsid w:val="009C2A69"/>
    <w:rsid w:val="009C3025"/>
    <w:rsid w:val="009C368F"/>
    <w:rsid w:val="009C4459"/>
    <w:rsid w:val="009C6A86"/>
    <w:rsid w:val="009C738C"/>
    <w:rsid w:val="009C7D03"/>
    <w:rsid w:val="009D03F7"/>
    <w:rsid w:val="009D0442"/>
    <w:rsid w:val="009D0C7C"/>
    <w:rsid w:val="009D10D9"/>
    <w:rsid w:val="009D1105"/>
    <w:rsid w:val="009D1E2F"/>
    <w:rsid w:val="009D372E"/>
    <w:rsid w:val="009D4401"/>
    <w:rsid w:val="009D46BE"/>
    <w:rsid w:val="009D4871"/>
    <w:rsid w:val="009D4B5E"/>
    <w:rsid w:val="009D5F1C"/>
    <w:rsid w:val="009D67E7"/>
    <w:rsid w:val="009D6899"/>
    <w:rsid w:val="009D7B31"/>
    <w:rsid w:val="009D7F5F"/>
    <w:rsid w:val="009E07F0"/>
    <w:rsid w:val="009E0907"/>
    <w:rsid w:val="009E0ACD"/>
    <w:rsid w:val="009E312C"/>
    <w:rsid w:val="009E31D2"/>
    <w:rsid w:val="009E3432"/>
    <w:rsid w:val="009E4F14"/>
    <w:rsid w:val="009E5740"/>
    <w:rsid w:val="009E60D4"/>
    <w:rsid w:val="009E6D2F"/>
    <w:rsid w:val="009E7097"/>
    <w:rsid w:val="009F0293"/>
    <w:rsid w:val="009F084C"/>
    <w:rsid w:val="009F09B3"/>
    <w:rsid w:val="009F1A46"/>
    <w:rsid w:val="009F2696"/>
    <w:rsid w:val="009F391B"/>
    <w:rsid w:val="009F3E80"/>
    <w:rsid w:val="009F4A14"/>
    <w:rsid w:val="009F54D1"/>
    <w:rsid w:val="009F553B"/>
    <w:rsid w:val="009F74C5"/>
    <w:rsid w:val="009F74D0"/>
    <w:rsid w:val="009F7BAB"/>
    <w:rsid w:val="00A00EDE"/>
    <w:rsid w:val="00A02A13"/>
    <w:rsid w:val="00A02C6D"/>
    <w:rsid w:val="00A03057"/>
    <w:rsid w:val="00A04145"/>
    <w:rsid w:val="00A04598"/>
    <w:rsid w:val="00A058C3"/>
    <w:rsid w:val="00A058FD"/>
    <w:rsid w:val="00A059B6"/>
    <w:rsid w:val="00A06048"/>
    <w:rsid w:val="00A0676C"/>
    <w:rsid w:val="00A06DB0"/>
    <w:rsid w:val="00A07C93"/>
    <w:rsid w:val="00A1033A"/>
    <w:rsid w:val="00A10666"/>
    <w:rsid w:val="00A10A64"/>
    <w:rsid w:val="00A10A92"/>
    <w:rsid w:val="00A10E67"/>
    <w:rsid w:val="00A110B1"/>
    <w:rsid w:val="00A11338"/>
    <w:rsid w:val="00A11703"/>
    <w:rsid w:val="00A117D8"/>
    <w:rsid w:val="00A11E9D"/>
    <w:rsid w:val="00A1337B"/>
    <w:rsid w:val="00A13841"/>
    <w:rsid w:val="00A1412D"/>
    <w:rsid w:val="00A14139"/>
    <w:rsid w:val="00A152B6"/>
    <w:rsid w:val="00A1667C"/>
    <w:rsid w:val="00A16BDD"/>
    <w:rsid w:val="00A176F3"/>
    <w:rsid w:val="00A17DAB"/>
    <w:rsid w:val="00A20331"/>
    <w:rsid w:val="00A2095E"/>
    <w:rsid w:val="00A2125A"/>
    <w:rsid w:val="00A2151F"/>
    <w:rsid w:val="00A21717"/>
    <w:rsid w:val="00A218DF"/>
    <w:rsid w:val="00A21AE3"/>
    <w:rsid w:val="00A22090"/>
    <w:rsid w:val="00A2294D"/>
    <w:rsid w:val="00A238CA"/>
    <w:rsid w:val="00A23939"/>
    <w:rsid w:val="00A24745"/>
    <w:rsid w:val="00A247D7"/>
    <w:rsid w:val="00A26347"/>
    <w:rsid w:val="00A26C28"/>
    <w:rsid w:val="00A27131"/>
    <w:rsid w:val="00A27303"/>
    <w:rsid w:val="00A27656"/>
    <w:rsid w:val="00A27EDD"/>
    <w:rsid w:val="00A303F3"/>
    <w:rsid w:val="00A319B4"/>
    <w:rsid w:val="00A31C8E"/>
    <w:rsid w:val="00A32277"/>
    <w:rsid w:val="00A32744"/>
    <w:rsid w:val="00A3449F"/>
    <w:rsid w:val="00A34B2E"/>
    <w:rsid w:val="00A40B2A"/>
    <w:rsid w:val="00A42050"/>
    <w:rsid w:val="00A42531"/>
    <w:rsid w:val="00A43376"/>
    <w:rsid w:val="00A4430D"/>
    <w:rsid w:val="00A44E13"/>
    <w:rsid w:val="00A45665"/>
    <w:rsid w:val="00A456D0"/>
    <w:rsid w:val="00A45C7F"/>
    <w:rsid w:val="00A46579"/>
    <w:rsid w:val="00A46E26"/>
    <w:rsid w:val="00A46FB0"/>
    <w:rsid w:val="00A50018"/>
    <w:rsid w:val="00A5014C"/>
    <w:rsid w:val="00A50A04"/>
    <w:rsid w:val="00A50D5A"/>
    <w:rsid w:val="00A51257"/>
    <w:rsid w:val="00A52166"/>
    <w:rsid w:val="00A52782"/>
    <w:rsid w:val="00A53551"/>
    <w:rsid w:val="00A53963"/>
    <w:rsid w:val="00A53D01"/>
    <w:rsid w:val="00A552AB"/>
    <w:rsid w:val="00A55EB2"/>
    <w:rsid w:val="00A55FE5"/>
    <w:rsid w:val="00A56670"/>
    <w:rsid w:val="00A57EBA"/>
    <w:rsid w:val="00A608B7"/>
    <w:rsid w:val="00A624C8"/>
    <w:rsid w:val="00A641DC"/>
    <w:rsid w:val="00A642FD"/>
    <w:rsid w:val="00A65DEA"/>
    <w:rsid w:val="00A661E3"/>
    <w:rsid w:val="00A66326"/>
    <w:rsid w:val="00A66946"/>
    <w:rsid w:val="00A66C7E"/>
    <w:rsid w:val="00A66CED"/>
    <w:rsid w:val="00A6701A"/>
    <w:rsid w:val="00A67181"/>
    <w:rsid w:val="00A70B73"/>
    <w:rsid w:val="00A70D26"/>
    <w:rsid w:val="00A717D8"/>
    <w:rsid w:val="00A71ADF"/>
    <w:rsid w:val="00A71F6F"/>
    <w:rsid w:val="00A727F6"/>
    <w:rsid w:val="00A73357"/>
    <w:rsid w:val="00A74145"/>
    <w:rsid w:val="00A74899"/>
    <w:rsid w:val="00A74E79"/>
    <w:rsid w:val="00A74E7C"/>
    <w:rsid w:val="00A750D5"/>
    <w:rsid w:val="00A7594C"/>
    <w:rsid w:val="00A75B20"/>
    <w:rsid w:val="00A775DA"/>
    <w:rsid w:val="00A77C81"/>
    <w:rsid w:val="00A80085"/>
    <w:rsid w:val="00A80E64"/>
    <w:rsid w:val="00A812F1"/>
    <w:rsid w:val="00A81657"/>
    <w:rsid w:val="00A825D5"/>
    <w:rsid w:val="00A83B0D"/>
    <w:rsid w:val="00A83FA1"/>
    <w:rsid w:val="00A849C7"/>
    <w:rsid w:val="00A858D5"/>
    <w:rsid w:val="00A85A6F"/>
    <w:rsid w:val="00A86339"/>
    <w:rsid w:val="00A86B0B"/>
    <w:rsid w:val="00A87A27"/>
    <w:rsid w:val="00A92139"/>
    <w:rsid w:val="00A9652C"/>
    <w:rsid w:val="00A96B30"/>
    <w:rsid w:val="00A9723E"/>
    <w:rsid w:val="00AA041A"/>
    <w:rsid w:val="00AA1349"/>
    <w:rsid w:val="00AA19FA"/>
    <w:rsid w:val="00AA2A51"/>
    <w:rsid w:val="00AA2D2B"/>
    <w:rsid w:val="00AA2DF4"/>
    <w:rsid w:val="00AA306A"/>
    <w:rsid w:val="00AA472C"/>
    <w:rsid w:val="00AA5A0B"/>
    <w:rsid w:val="00AA5E3F"/>
    <w:rsid w:val="00AA6160"/>
    <w:rsid w:val="00AA6B94"/>
    <w:rsid w:val="00AA6EBA"/>
    <w:rsid w:val="00AA7ED3"/>
    <w:rsid w:val="00AB0AB7"/>
    <w:rsid w:val="00AB0B55"/>
    <w:rsid w:val="00AB0BC9"/>
    <w:rsid w:val="00AB0DD3"/>
    <w:rsid w:val="00AB100D"/>
    <w:rsid w:val="00AB127C"/>
    <w:rsid w:val="00AB1407"/>
    <w:rsid w:val="00AB1BC7"/>
    <w:rsid w:val="00AB2370"/>
    <w:rsid w:val="00AB2414"/>
    <w:rsid w:val="00AB27E8"/>
    <w:rsid w:val="00AB38D1"/>
    <w:rsid w:val="00AB38E7"/>
    <w:rsid w:val="00AB45FA"/>
    <w:rsid w:val="00AB4E87"/>
    <w:rsid w:val="00AB5390"/>
    <w:rsid w:val="00AB563E"/>
    <w:rsid w:val="00AB7C98"/>
    <w:rsid w:val="00AC090D"/>
    <w:rsid w:val="00AC0C36"/>
    <w:rsid w:val="00AC0D84"/>
    <w:rsid w:val="00AC2679"/>
    <w:rsid w:val="00AC31D2"/>
    <w:rsid w:val="00AC3271"/>
    <w:rsid w:val="00AC3618"/>
    <w:rsid w:val="00AC395D"/>
    <w:rsid w:val="00AC47B0"/>
    <w:rsid w:val="00AC4EF9"/>
    <w:rsid w:val="00AC5842"/>
    <w:rsid w:val="00AC6F23"/>
    <w:rsid w:val="00AC6F8E"/>
    <w:rsid w:val="00AC7371"/>
    <w:rsid w:val="00AC7514"/>
    <w:rsid w:val="00AD0108"/>
    <w:rsid w:val="00AD41E2"/>
    <w:rsid w:val="00AD52AF"/>
    <w:rsid w:val="00AD5377"/>
    <w:rsid w:val="00AD7B7F"/>
    <w:rsid w:val="00AD7E76"/>
    <w:rsid w:val="00AD7F57"/>
    <w:rsid w:val="00AE06BF"/>
    <w:rsid w:val="00AE25C0"/>
    <w:rsid w:val="00AE2D08"/>
    <w:rsid w:val="00AE2DBA"/>
    <w:rsid w:val="00AE2FA2"/>
    <w:rsid w:val="00AE3044"/>
    <w:rsid w:val="00AE3EAC"/>
    <w:rsid w:val="00AE6BF8"/>
    <w:rsid w:val="00AE6D6C"/>
    <w:rsid w:val="00AE793F"/>
    <w:rsid w:val="00AF0554"/>
    <w:rsid w:val="00AF05ED"/>
    <w:rsid w:val="00AF2E9D"/>
    <w:rsid w:val="00AF36EB"/>
    <w:rsid w:val="00AF421D"/>
    <w:rsid w:val="00AF60D6"/>
    <w:rsid w:val="00AF6255"/>
    <w:rsid w:val="00AF717F"/>
    <w:rsid w:val="00B001C0"/>
    <w:rsid w:val="00B00605"/>
    <w:rsid w:val="00B00B7D"/>
    <w:rsid w:val="00B01517"/>
    <w:rsid w:val="00B03E61"/>
    <w:rsid w:val="00B0406F"/>
    <w:rsid w:val="00B04FF9"/>
    <w:rsid w:val="00B071B2"/>
    <w:rsid w:val="00B07B35"/>
    <w:rsid w:val="00B10CE3"/>
    <w:rsid w:val="00B11798"/>
    <w:rsid w:val="00B11933"/>
    <w:rsid w:val="00B11BAE"/>
    <w:rsid w:val="00B11C00"/>
    <w:rsid w:val="00B12796"/>
    <w:rsid w:val="00B1582A"/>
    <w:rsid w:val="00B1586B"/>
    <w:rsid w:val="00B161B9"/>
    <w:rsid w:val="00B16527"/>
    <w:rsid w:val="00B17311"/>
    <w:rsid w:val="00B1733F"/>
    <w:rsid w:val="00B204F1"/>
    <w:rsid w:val="00B226B1"/>
    <w:rsid w:val="00B23B19"/>
    <w:rsid w:val="00B23D30"/>
    <w:rsid w:val="00B26766"/>
    <w:rsid w:val="00B2738D"/>
    <w:rsid w:val="00B276C8"/>
    <w:rsid w:val="00B3092E"/>
    <w:rsid w:val="00B30A2B"/>
    <w:rsid w:val="00B317AA"/>
    <w:rsid w:val="00B323C6"/>
    <w:rsid w:val="00B32AE6"/>
    <w:rsid w:val="00B32BA6"/>
    <w:rsid w:val="00B32D4C"/>
    <w:rsid w:val="00B33570"/>
    <w:rsid w:val="00B3480D"/>
    <w:rsid w:val="00B37881"/>
    <w:rsid w:val="00B411FB"/>
    <w:rsid w:val="00B412BF"/>
    <w:rsid w:val="00B414D2"/>
    <w:rsid w:val="00B41777"/>
    <w:rsid w:val="00B417CF"/>
    <w:rsid w:val="00B421B2"/>
    <w:rsid w:val="00B43E9C"/>
    <w:rsid w:val="00B44425"/>
    <w:rsid w:val="00B4488F"/>
    <w:rsid w:val="00B45449"/>
    <w:rsid w:val="00B455DB"/>
    <w:rsid w:val="00B45906"/>
    <w:rsid w:val="00B46395"/>
    <w:rsid w:val="00B465D9"/>
    <w:rsid w:val="00B46699"/>
    <w:rsid w:val="00B46971"/>
    <w:rsid w:val="00B46BE9"/>
    <w:rsid w:val="00B51248"/>
    <w:rsid w:val="00B514B5"/>
    <w:rsid w:val="00B520DC"/>
    <w:rsid w:val="00B5355C"/>
    <w:rsid w:val="00B5394F"/>
    <w:rsid w:val="00B5399E"/>
    <w:rsid w:val="00B551EA"/>
    <w:rsid w:val="00B5526B"/>
    <w:rsid w:val="00B55B89"/>
    <w:rsid w:val="00B562B6"/>
    <w:rsid w:val="00B56CBF"/>
    <w:rsid w:val="00B57467"/>
    <w:rsid w:val="00B60F2A"/>
    <w:rsid w:val="00B6117E"/>
    <w:rsid w:val="00B61192"/>
    <w:rsid w:val="00B61D51"/>
    <w:rsid w:val="00B61EF8"/>
    <w:rsid w:val="00B629D2"/>
    <w:rsid w:val="00B62F6F"/>
    <w:rsid w:val="00B6340A"/>
    <w:rsid w:val="00B638E8"/>
    <w:rsid w:val="00B640C1"/>
    <w:rsid w:val="00B646A3"/>
    <w:rsid w:val="00B6588C"/>
    <w:rsid w:val="00B66365"/>
    <w:rsid w:val="00B66886"/>
    <w:rsid w:val="00B67C3D"/>
    <w:rsid w:val="00B702C8"/>
    <w:rsid w:val="00B70CCA"/>
    <w:rsid w:val="00B71EF8"/>
    <w:rsid w:val="00B729EC"/>
    <w:rsid w:val="00B72CC3"/>
    <w:rsid w:val="00B73E05"/>
    <w:rsid w:val="00B76902"/>
    <w:rsid w:val="00B8024C"/>
    <w:rsid w:val="00B80310"/>
    <w:rsid w:val="00B818FE"/>
    <w:rsid w:val="00B81DBF"/>
    <w:rsid w:val="00B83498"/>
    <w:rsid w:val="00B834CA"/>
    <w:rsid w:val="00B84420"/>
    <w:rsid w:val="00B84669"/>
    <w:rsid w:val="00B84A88"/>
    <w:rsid w:val="00B864D6"/>
    <w:rsid w:val="00B86663"/>
    <w:rsid w:val="00B86ED5"/>
    <w:rsid w:val="00B873A2"/>
    <w:rsid w:val="00B87894"/>
    <w:rsid w:val="00B87EBB"/>
    <w:rsid w:val="00B87F9C"/>
    <w:rsid w:val="00B9246A"/>
    <w:rsid w:val="00B930E6"/>
    <w:rsid w:val="00B932AC"/>
    <w:rsid w:val="00B934A0"/>
    <w:rsid w:val="00B93D1D"/>
    <w:rsid w:val="00B94D38"/>
    <w:rsid w:val="00B95AD7"/>
    <w:rsid w:val="00B9635E"/>
    <w:rsid w:val="00B973DC"/>
    <w:rsid w:val="00B97504"/>
    <w:rsid w:val="00B97E93"/>
    <w:rsid w:val="00BA0165"/>
    <w:rsid w:val="00BA2C4F"/>
    <w:rsid w:val="00BA490F"/>
    <w:rsid w:val="00BA55F4"/>
    <w:rsid w:val="00BA5BBA"/>
    <w:rsid w:val="00BA68F4"/>
    <w:rsid w:val="00BA7587"/>
    <w:rsid w:val="00BB014D"/>
    <w:rsid w:val="00BB103E"/>
    <w:rsid w:val="00BB202B"/>
    <w:rsid w:val="00BB2140"/>
    <w:rsid w:val="00BB245F"/>
    <w:rsid w:val="00BB36C7"/>
    <w:rsid w:val="00BB3D45"/>
    <w:rsid w:val="00BB47BC"/>
    <w:rsid w:val="00BB57EC"/>
    <w:rsid w:val="00BB5C8C"/>
    <w:rsid w:val="00BB6F56"/>
    <w:rsid w:val="00BB76C2"/>
    <w:rsid w:val="00BC09BB"/>
    <w:rsid w:val="00BC104C"/>
    <w:rsid w:val="00BC1062"/>
    <w:rsid w:val="00BC21E3"/>
    <w:rsid w:val="00BC26F6"/>
    <w:rsid w:val="00BC2C4F"/>
    <w:rsid w:val="00BC2FD2"/>
    <w:rsid w:val="00BC681D"/>
    <w:rsid w:val="00BC7DD5"/>
    <w:rsid w:val="00BD024B"/>
    <w:rsid w:val="00BD039F"/>
    <w:rsid w:val="00BD08B7"/>
    <w:rsid w:val="00BD33E6"/>
    <w:rsid w:val="00BD3639"/>
    <w:rsid w:val="00BD3806"/>
    <w:rsid w:val="00BD3D2F"/>
    <w:rsid w:val="00BD3F29"/>
    <w:rsid w:val="00BD4186"/>
    <w:rsid w:val="00BD4E99"/>
    <w:rsid w:val="00BD4ED5"/>
    <w:rsid w:val="00BD62CB"/>
    <w:rsid w:val="00BD680F"/>
    <w:rsid w:val="00BD71F4"/>
    <w:rsid w:val="00BD7496"/>
    <w:rsid w:val="00BD75E5"/>
    <w:rsid w:val="00BD7D10"/>
    <w:rsid w:val="00BE0628"/>
    <w:rsid w:val="00BE0A8B"/>
    <w:rsid w:val="00BE14CF"/>
    <w:rsid w:val="00BE15E9"/>
    <w:rsid w:val="00BE163A"/>
    <w:rsid w:val="00BE438F"/>
    <w:rsid w:val="00BE518E"/>
    <w:rsid w:val="00BE55FA"/>
    <w:rsid w:val="00BE56B1"/>
    <w:rsid w:val="00BE5937"/>
    <w:rsid w:val="00BE59FD"/>
    <w:rsid w:val="00BE6E75"/>
    <w:rsid w:val="00BF034D"/>
    <w:rsid w:val="00BF093E"/>
    <w:rsid w:val="00BF1BED"/>
    <w:rsid w:val="00BF2105"/>
    <w:rsid w:val="00BF519C"/>
    <w:rsid w:val="00BF5603"/>
    <w:rsid w:val="00BF72CD"/>
    <w:rsid w:val="00BF7775"/>
    <w:rsid w:val="00BF7829"/>
    <w:rsid w:val="00BF7A4C"/>
    <w:rsid w:val="00BF7B23"/>
    <w:rsid w:val="00C00909"/>
    <w:rsid w:val="00C024C2"/>
    <w:rsid w:val="00C02E29"/>
    <w:rsid w:val="00C038CA"/>
    <w:rsid w:val="00C04016"/>
    <w:rsid w:val="00C04900"/>
    <w:rsid w:val="00C0519D"/>
    <w:rsid w:val="00C0556D"/>
    <w:rsid w:val="00C05898"/>
    <w:rsid w:val="00C05E70"/>
    <w:rsid w:val="00C07A72"/>
    <w:rsid w:val="00C07AB9"/>
    <w:rsid w:val="00C1019C"/>
    <w:rsid w:val="00C10227"/>
    <w:rsid w:val="00C121EA"/>
    <w:rsid w:val="00C12C3D"/>
    <w:rsid w:val="00C12DD9"/>
    <w:rsid w:val="00C12E2C"/>
    <w:rsid w:val="00C13A68"/>
    <w:rsid w:val="00C13C11"/>
    <w:rsid w:val="00C13FBB"/>
    <w:rsid w:val="00C15A9E"/>
    <w:rsid w:val="00C15D9F"/>
    <w:rsid w:val="00C163E7"/>
    <w:rsid w:val="00C1644E"/>
    <w:rsid w:val="00C16677"/>
    <w:rsid w:val="00C17295"/>
    <w:rsid w:val="00C2020E"/>
    <w:rsid w:val="00C2052F"/>
    <w:rsid w:val="00C20E03"/>
    <w:rsid w:val="00C24ABA"/>
    <w:rsid w:val="00C24F6F"/>
    <w:rsid w:val="00C25260"/>
    <w:rsid w:val="00C25A33"/>
    <w:rsid w:val="00C25D85"/>
    <w:rsid w:val="00C26281"/>
    <w:rsid w:val="00C265A9"/>
    <w:rsid w:val="00C267C8"/>
    <w:rsid w:val="00C26B82"/>
    <w:rsid w:val="00C27C8B"/>
    <w:rsid w:val="00C3000F"/>
    <w:rsid w:val="00C305B2"/>
    <w:rsid w:val="00C30CF9"/>
    <w:rsid w:val="00C30D35"/>
    <w:rsid w:val="00C310B8"/>
    <w:rsid w:val="00C315A7"/>
    <w:rsid w:val="00C3215D"/>
    <w:rsid w:val="00C32D6A"/>
    <w:rsid w:val="00C33B59"/>
    <w:rsid w:val="00C33BA5"/>
    <w:rsid w:val="00C33FDC"/>
    <w:rsid w:val="00C3510A"/>
    <w:rsid w:val="00C3520D"/>
    <w:rsid w:val="00C36603"/>
    <w:rsid w:val="00C36743"/>
    <w:rsid w:val="00C37668"/>
    <w:rsid w:val="00C400CE"/>
    <w:rsid w:val="00C4021F"/>
    <w:rsid w:val="00C403D5"/>
    <w:rsid w:val="00C40428"/>
    <w:rsid w:val="00C40EF8"/>
    <w:rsid w:val="00C41BD1"/>
    <w:rsid w:val="00C41D41"/>
    <w:rsid w:val="00C42585"/>
    <w:rsid w:val="00C426B2"/>
    <w:rsid w:val="00C42D7A"/>
    <w:rsid w:val="00C43F9A"/>
    <w:rsid w:val="00C44391"/>
    <w:rsid w:val="00C443AD"/>
    <w:rsid w:val="00C46218"/>
    <w:rsid w:val="00C46228"/>
    <w:rsid w:val="00C468C2"/>
    <w:rsid w:val="00C4783E"/>
    <w:rsid w:val="00C47FF8"/>
    <w:rsid w:val="00C504D4"/>
    <w:rsid w:val="00C50EF9"/>
    <w:rsid w:val="00C51687"/>
    <w:rsid w:val="00C51C81"/>
    <w:rsid w:val="00C51CD9"/>
    <w:rsid w:val="00C51FD5"/>
    <w:rsid w:val="00C5254B"/>
    <w:rsid w:val="00C527A4"/>
    <w:rsid w:val="00C533AF"/>
    <w:rsid w:val="00C533D9"/>
    <w:rsid w:val="00C54034"/>
    <w:rsid w:val="00C550C9"/>
    <w:rsid w:val="00C5574B"/>
    <w:rsid w:val="00C56F88"/>
    <w:rsid w:val="00C575A7"/>
    <w:rsid w:val="00C6049B"/>
    <w:rsid w:val="00C61543"/>
    <w:rsid w:val="00C61C78"/>
    <w:rsid w:val="00C620FB"/>
    <w:rsid w:val="00C63908"/>
    <w:rsid w:val="00C63AA1"/>
    <w:rsid w:val="00C63B6E"/>
    <w:rsid w:val="00C63B8B"/>
    <w:rsid w:val="00C65C96"/>
    <w:rsid w:val="00C664AF"/>
    <w:rsid w:val="00C6702D"/>
    <w:rsid w:val="00C71B0B"/>
    <w:rsid w:val="00C71EA3"/>
    <w:rsid w:val="00C72D24"/>
    <w:rsid w:val="00C72F40"/>
    <w:rsid w:val="00C7620D"/>
    <w:rsid w:val="00C762C7"/>
    <w:rsid w:val="00C76AC8"/>
    <w:rsid w:val="00C76E04"/>
    <w:rsid w:val="00C774C4"/>
    <w:rsid w:val="00C7770C"/>
    <w:rsid w:val="00C77A67"/>
    <w:rsid w:val="00C77C72"/>
    <w:rsid w:val="00C8003D"/>
    <w:rsid w:val="00C827BA"/>
    <w:rsid w:val="00C82B0C"/>
    <w:rsid w:val="00C82B65"/>
    <w:rsid w:val="00C82CD8"/>
    <w:rsid w:val="00C8386A"/>
    <w:rsid w:val="00C83CA9"/>
    <w:rsid w:val="00C844A5"/>
    <w:rsid w:val="00C84B58"/>
    <w:rsid w:val="00C84E99"/>
    <w:rsid w:val="00C85D44"/>
    <w:rsid w:val="00C86A45"/>
    <w:rsid w:val="00C8726E"/>
    <w:rsid w:val="00C872B9"/>
    <w:rsid w:val="00C87C02"/>
    <w:rsid w:val="00C90648"/>
    <w:rsid w:val="00C908A5"/>
    <w:rsid w:val="00C909A3"/>
    <w:rsid w:val="00C90BBE"/>
    <w:rsid w:val="00C91FC0"/>
    <w:rsid w:val="00C9229C"/>
    <w:rsid w:val="00C944FE"/>
    <w:rsid w:val="00C94582"/>
    <w:rsid w:val="00C94E75"/>
    <w:rsid w:val="00C95780"/>
    <w:rsid w:val="00C95D96"/>
    <w:rsid w:val="00C95EA9"/>
    <w:rsid w:val="00C96E7C"/>
    <w:rsid w:val="00CA00AD"/>
    <w:rsid w:val="00CA0A31"/>
    <w:rsid w:val="00CA0EC0"/>
    <w:rsid w:val="00CA1708"/>
    <w:rsid w:val="00CA2EBB"/>
    <w:rsid w:val="00CA3C58"/>
    <w:rsid w:val="00CA5738"/>
    <w:rsid w:val="00CA5A23"/>
    <w:rsid w:val="00CA637F"/>
    <w:rsid w:val="00CA6866"/>
    <w:rsid w:val="00CA6B56"/>
    <w:rsid w:val="00CA75F5"/>
    <w:rsid w:val="00CA79D7"/>
    <w:rsid w:val="00CA7E8C"/>
    <w:rsid w:val="00CB04DC"/>
    <w:rsid w:val="00CB07DF"/>
    <w:rsid w:val="00CB1093"/>
    <w:rsid w:val="00CB1346"/>
    <w:rsid w:val="00CB16C5"/>
    <w:rsid w:val="00CB2DDD"/>
    <w:rsid w:val="00CB3480"/>
    <w:rsid w:val="00CB3713"/>
    <w:rsid w:val="00CB3804"/>
    <w:rsid w:val="00CB3DEE"/>
    <w:rsid w:val="00CB59A9"/>
    <w:rsid w:val="00CB5A03"/>
    <w:rsid w:val="00CB6547"/>
    <w:rsid w:val="00CB73E5"/>
    <w:rsid w:val="00CC03F2"/>
    <w:rsid w:val="00CC0F9B"/>
    <w:rsid w:val="00CC16C5"/>
    <w:rsid w:val="00CC407C"/>
    <w:rsid w:val="00CC4735"/>
    <w:rsid w:val="00CC55B0"/>
    <w:rsid w:val="00CC5BD9"/>
    <w:rsid w:val="00CC6E82"/>
    <w:rsid w:val="00CD0011"/>
    <w:rsid w:val="00CD0BC9"/>
    <w:rsid w:val="00CD20A9"/>
    <w:rsid w:val="00CD2A97"/>
    <w:rsid w:val="00CD2C57"/>
    <w:rsid w:val="00CD2CD4"/>
    <w:rsid w:val="00CD445B"/>
    <w:rsid w:val="00CD551E"/>
    <w:rsid w:val="00CD5E48"/>
    <w:rsid w:val="00CD5FBA"/>
    <w:rsid w:val="00CD66EE"/>
    <w:rsid w:val="00CD7C67"/>
    <w:rsid w:val="00CD7ED4"/>
    <w:rsid w:val="00CE07BE"/>
    <w:rsid w:val="00CE0912"/>
    <w:rsid w:val="00CE11FE"/>
    <w:rsid w:val="00CE1918"/>
    <w:rsid w:val="00CE1BAC"/>
    <w:rsid w:val="00CE2328"/>
    <w:rsid w:val="00CE30BA"/>
    <w:rsid w:val="00CE5BB6"/>
    <w:rsid w:val="00CE5BB8"/>
    <w:rsid w:val="00CE724C"/>
    <w:rsid w:val="00CE77A5"/>
    <w:rsid w:val="00CE78CB"/>
    <w:rsid w:val="00CF08B3"/>
    <w:rsid w:val="00CF0A6E"/>
    <w:rsid w:val="00CF20C5"/>
    <w:rsid w:val="00CF216F"/>
    <w:rsid w:val="00CF2F60"/>
    <w:rsid w:val="00CF3BCE"/>
    <w:rsid w:val="00CF4B29"/>
    <w:rsid w:val="00CF4FBD"/>
    <w:rsid w:val="00CF6820"/>
    <w:rsid w:val="00CF6E6F"/>
    <w:rsid w:val="00CF76AC"/>
    <w:rsid w:val="00D00C32"/>
    <w:rsid w:val="00D00C4E"/>
    <w:rsid w:val="00D01588"/>
    <w:rsid w:val="00D0231B"/>
    <w:rsid w:val="00D02872"/>
    <w:rsid w:val="00D03690"/>
    <w:rsid w:val="00D0420D"/>
    <w:rsid w:val="00D056E8"/>
    <w:rsid w:val="00D05D9B"/>
    <w:rsid w:val="00D06416"/>
    <w:rsid w:val="00D06BB5"/>
    <w:rsid w:val="00D10964"/>
    <w:rsid w:val="00D11CEF"/>
    <w:rsid w:val="00D12E35"/>
    <w:rsid w:val="00D139D2"/>
    <w:rsid w:val="00D13B61"/>
    <w:rsid w:val="00D14B9E"/>
    <w:rsid w:val="00D14EA3"/>
    <w:rsid w:val="00D152EA"/>
    <w:rsid w:val="00D1569B"/>
    <w:rsid w:val="00D1597F"/>
    <w:rsid w:val="00D16FAB"/>
    <w:rsid w:val="00D20470"/>
    <w:rsid w:val="00D21659"/>
    <w:rsid w:val="00D22F69"/>
    <w:rsid w:val="00D23534"/>
    <w:rsid w:val="00D235A2"/>
    <w:rsid w:val="00D240F8"/>
    <w:rsid w:val="00D241F9"/>
    <w:rsid w:val="00D245AB"/>
    <w:rsid w:val="00D24769"/>
    <w:rsid w:val="00D24C3C"/>
    <w:rsid w:val="00D24FC8"/>
    <w:rsid w:val="00D26960"/>
    <w:rsid w:val="00D2731B"/>
    <w:rsid w:val="00D276EA"/>
    <w:rsid w:val="00D27CC4"/>
    <w:rsid w:val="00D302CC"/>
    <w:rsid w:val="00D32FFC"/>
    <w:rsid w:val="00D3323F"/>
    <w:rsid w:val="00D3457B"/>
    <w:rsid w:val="00D34D95"/>
    <w:rsid w:val="00D35A05"/>
    <w:rsid w:val="00D35A7F"/>
    <w:rsid w:val="00D36027"/>
    <w:rsid w:val="00D36649"/>
    <w:rsid w:val="00D3701D"/>
    <w:rsid w:val="00D37231"/>
    <w:rsid w:val="00D3733D"/>
    <w:rsid w:val="00D375B1"/>
    <w:rsid w:val="00D375CD"/>
    <w:rsid w:val="00D37AA4"/>
    <w:rsid w:val="00D37E26"/>
    <w:rsid w:val="00D409A7"/>
    <w:rsid w:val="00D40DE1"/>
    <w:rsid w:val="00D41458"/>
    <w:rsid w:val="00D41880"/>
    <w:rsid w:val="00D41ADD"/>
    <w:rsid w:val="00D428A6"/>
    <w:rsid w:val="00D42A74"/>
    <w:rsid w:val="00D44339"/>
    <w:rsid w:val="00D44BCB"/>
    <w:rsid w:val="00D45F34"/>
    <w:rsid w:val="00D4607A"/>
    <w:rsid w:val="00D46715"/>
    <w:rsid w:val="00D47331"/>
    <w:rsid w:val="00D47A9A"/>
    <w:rsid w:val="00D5132A"/>
    <w:rsid w:val="00D514CA"/>
    <w:rsid w:val="00D52555"/>
    <w:rsid w:val="00D526AD"/>
    <w:rsid w:val="00D52B98"/>
    <w:rsid w:val="00D532D0"/>
    <w:rsid w:val="00D54285"/>
    <w:rsid w:val="00D5668B"/>
    <w:rsid w:val="00D5756E"/>
    <w:rsid w:val="00D57900"/>
    <w:rsid w:val="00D6000D"/>
    <w:rsid w:val="00D604E5"/>
    <w:rsid w:val="00D62191"/>
    <w:rsid w:val="00D626FF"/>
    <w:rsid w:val="00D62BA0"/>
    <w:rsid w:val="00D62BA4"/>
    <w:rsid w:val="00D64391"/>
    <w:rsid w:val="00D645CF"/>
    <w:rsid w:val="00D6539D"/>
    <w:rsid w:val="00D65DA1"/>
    <w:rsid w:val="00D66751"/>
    <w:rsid w:val="00D6680B"/>
    <w:rsid w:val="00D668BD"/>
    <w:rsid w:val="00D66A54"/>
    <w:rsid w:val="00D66B17"/>
    <w:rsid w:val="00D66FB2"/>
    <w:rsid w:val="00D67313"/>
    <w:rsid w:val="00D71104"/>
    <w:rsid w:val="00D7156C"/>
    <w:rsid w:val="00D71AB0"/>
    <w:rsid w:val="00D7245B"/>
    <w:rsid w:val="00D72F17"/>
    <w:rsid w:val="00D734E0"/>
    <w:rsid w:val="00D73A98"/>
    <w:rsid w:val="00D741AE"/>
    <w:rsid w:val="00D7453C"/>
    <w:rsid w:val="00D74ABA"/>
    <w:rsid w:val="00D74C6D"/>
    <w:rsid w:val="00D75D8D"/>
    <w:rsid w:val="00D7682B"/>
    <w:rsid w:val="00D76F9E"/>
    <w:rsid w:val="00D77979"/>
    <w:rsid w:val="00D807CE"/>
    <w:rsid w:val="00D85AD2"/>
    <w:rsid w:val="00D86D7D"/>
    <w:rsid w:val="00D87D2D"/>
    <w:rsid w:val="00D87EBB"/>
    <w:rsid w:val="00D90B5F"/>
    <w:rsid w:val="00D91825"/>
    <w:rsid w:val="00D921A3"/>
    <w:rsid w:val="00D9297D"/>
    <w:rsid w:val="00D92AEC"/>
    <w:rsid w:val="00D92D99"/>
    <w:rsid w:val="00D9320D"/>
    <w:rsid w:val="00D933FD"/>
    <w:rsid w:val="00D9390E"/>
    <w:rsid w:val="00D95EA9"/>
    <w:rsid w:val="00D96A03"/>
    <w:rsid w:val="00D99922"/>
    <w:rsid w:val="00DA0557"/>
    <w:rsid w:val="00DA110D"/>
    <w:rsid w:val="00DA2BBF"/>
    <w:rsid w:val="00DA3C93"/>
    <w:rsid w:val="00DA5629"/>
    <w:rsid w:val="00DA5D1D"/>
    <w:rsid w:val="00DA6E1B"/>
    <w:rsid w:val="00DA7DDF"/>
    <w:rsid w:val="00DA7F84"/>
    <w:rsid w:val="00DB0417"/>
    <w:rsid w:val="00DB2195"/>
    <w:rsid w:val="00DB2BA6"/>
    <w:rsid w:val="00DB3787"/>
    <w:rsid w:val="00DB3CA8"/>
    <w:rsid w:val="00DB3EFD"/>
    <w:rsid w:val="00DB40FC"/>
    <w:rsid w:val="00DB5333"/>
    <w:rsid w:val="00DB6292"/>
    <w:rsid w:val="00DB6762"/>
    <w:rsid w:val="00DB6AEC"/>
    <w:rsid w:val="00DB7096"/>
    <w:rsid w:val="00DB72BE"/>
    <w:rsid w:val="00DB72D5"/>
    <w:rsid w:val="00DB7511"/>
    <w:rsid w:val="00DC0313"/>
    <w:rsid w:val="00DC04BD"/>
    <w:rsid w:val="00DC0CAF"/>
    <w:rsid w:val="00DC13D3"/>
    <w:rsid w:val="00DC1669"/>
    <w:rsid w:val="00DC1702"/>
    <w:rsid w:val="00DC305D"/>
    <w:rsid w:val="00DC35A9"/>
    <w:rsid w:val="00DC4523"/>
    <w:rsid w:val="00DC50ED"/>
    <w:rsid w:val="00DC564E"/>
    <w:rsid w:val="00DC5C96"/>
    <w:rsid w:val="00DC6F92"/>
    <w:rsid w:val="00DC70B7"/>
    <w:rsid w:val="00DC7843"/>
    <w:rsid w:val="00DC7EE6"/>
    <w:rsid w:val="00DD0DE9"/>
    <w:rsid w:val="00DD2CF8"/>
    <w:rsid w:val="00DD3957"/>
    <w:rsid w:val="00DD4595"/>
    <w:rsid w:val="00DD5E7C"/>
    <w:rsid w:val="00DE041F"/>
    <w:rsid w:val="00DE053C"/>
    <w:rsid w:val="00DE1392"/>
    <w:rsid w:val="00DE2BFE"/>
    <w:rsid w:val="00DE3B93"/>
    <w:rsid w:val="00DE4235"/>
    <w:rsid w:val="00DE669E"/>
    <w:rsid w:val="00DE7C20"/>
    <w:rsid w:val="00DF0038"/>
    <w:rsid w:val="00DF086C"/>
    <w:rsid w:val="00DF1169"/>
    <w:rsid w:val="00DF34C6"/>
    <w:rsid w:val="00DF34FC"/>
    <w:rsid w:val="00DF4074"/>
    <w:rsid w:val="00DF46B4"/>
    <w:rsid w:val="00DF4735"/>
    <w:rsid w:val="00DF536C"/>
    <w:rsid w:val="00DF72EF"/>
    <w:rsid w:val="00DF757B"/>
    <w:rsid w:val="00DF787B"/>
    <w:rsid w:val="00E018FC"/>
    <w:rsid w:val="00E019D1"/>
    <w:rsid w:val="00E0260D"/>
    <w:rsid w:val="00E031E1"/>
    <w:rsid w:val="00E03824"/>
    <w:rsid w:val="00E0390B"/>
    <w:rsid w:val="00E04CFF"/>
    <w:rsid w:val="00E0629A"/>
    <w:rsid w:val="00E07C2B"/>
    <w:rsid w:val="00E1001D"/>
    <w:rsid w:val="00E103F6"/>
    <w:rsid w:val="00E106F8"/>
    <w:rsid w:val="00E10A1C"/>
    <w:rsid w:val="00E10D8A"/>
    <w:rsid w:val="00E11333"/>
    <w:rsid w:val="00E1346F"/>
    <w:rsid w:val="00E13635"/>
    <w:rsid w:val="00E13755"/>
    <w:rsid w:val="00E15DE2"/>
    <w:rsid w:val="00E15F98"/>
    <w:rsid w:val="00E16638"/>
    <w:rsid w:val="00E16E4F"/>
    <w:rsid w:val="00E21178"/>
    <w:rsid w:val="00E21856"/>
    <w:rsid w:val="00E22128"/>
    <w:rsid w:val="00E22B33"/>
    <w:rsid w:val="00E23D5F"/>
    <w:rsid w:val="00E24C37"/>
    <w:rsid w:val="00E25BB9"/>
    <w:rsid w:val="00E26874"/>
    <w:rsid w:val="00E26CE0"/>
    <w:rsid w:val="00E26D3F"/>
    <w:rsid w:val="00E26E85"/>
    <w:rsid w:val="00E27404"/>
    <w:rsid w:val="00E30DA6"/>
    <w:rsid w:val="00E30F17"/>
    <w:rsid w:val="00E31159"/>
    <w:rsid w:val="00E3129D"/>
    <w:rsid w:val="00E319C5"/>
    <w:rsid w:val="00E335A2"/>
    <w:rsid w:val="00E33742"/>
    <w:rsid w:val="00E3398F"/>
    <w:rsid w:val="00E3454F"/>
    <w:rsid w:val="00E355DC"/>
    <w:rsid w:val="00E35D23"/>
    <w:rsid w:val="00E35D51"/>
    <w:rsid w:val="00E3615B"/>
    <w:rsid w:val="00E40FB7"/>
    <w:rsid w:val="00E41182"/>
    <w:rsid w:val="00E41BBD"/>
    <w:rsid w:val="00E41BCA"/>
    <w:rsid w:val="00E437F8"/>
    <w:rsid w:val="00E43DAA"/>
    <w:rsid w:val="00E43DDB"/>
    <w:rsid w:val="00E444AE"/>
    <w:rsid w:val="00E448AA"/>
    <w:rsid w:val="00E449F0"/>
    <w:rsid w:val="00E45230"/>
    <w:rsid w:val="00E452B4"/>
    <w:rsid w:val="00E45488"/>
    <w:rsid w:val="00E469F4"/>
    <w:rsid w:val="00E46E96"/>
    <w:rsid w:val="00E470C1"/>
    <w:rsid w:val="00E471D0"/>
    <w:rsid w:val="00E47760"/>
    <w:rsid w:val="00E510FB"/>
    <w:rsid w:val="00E52AB3"/>
    <w:rsid w:val="00E52F69"/>
    <w:rsid w:val="00E533F2"/>
    <w:rsid w:val="00E538E9"/>
    <w:rsid w:val="00E539C4"/>
    <w:rsid w:val="00E53A4C"/>
    <w:rsid w:val="00E53BE1"/>
    <w:rsid w:val="00E54725"/>
    <w:rsid w:val="00E54AA4"/>
    <w:rsid w:val="00E55197"/>
    <w:rsid w:val="00E56926"/>
    <w:rsid w:val="00E56B9E"/>
    <w:rsid w:val="00E60C95"/>
    <w:rsid w:val="00E6169D"/>
    <w:rsid w:val="00E61BE1"/>
    <w:rsid w:val="00E61DE5"/>
    <w:rsid w:val="00E6205C"/>
    <w:rsid w:val="00E62EA6"/>
    <w:rsid w:val="00E62F79"/>
    <w:rsid w:val="00E634CA"/>
    <w:rsid w:val="00E63C57"/>
    <w:rsid w:val="00E6401C"/>
    <w:rsid w:val="00E65CCC"/>
    <w:rsid w:val="00E66719"/>
    <w:rsid w:val="00E66C8A"/>
    <w:rsid w:val="00E66E1B"/>
    <w:rsid w:val="00E6709A"/>
    <w:rsid w:val="00E67397"/>
    <w:rsid w:val="00E6746E"/>
    <w:rsid w:val="00E67E5A"/>
    <w:rsid w:val="00E67F91"/>
    <w:rsid w:val="00E70015"/>
    <w:rsid w:val="00E7010B"/>
    <w:rsid w:val="00E70133"/>
    <w:rsid w:val="00E705F6"/>
    <w:rsid w:val="00E70926"/>
    <w:rsid w:val="00E7099C"/>
    <w:rsid w:val="00E70D9C"/>
    <w:rsid w:val="00E7109C"/>
    <w:rsid w:val="00E7270A"/>
    <w:rsid w:val="00E72C96"/>
    <w:rsid w:val="00E74B8E"/>
    <w:rsid w:val="00E75621"/>
    <w:rsid w:val="00E75C6E"/>
    <w:rsid w:val="00E761E4"/>
    <w:rsid w:val="00E7677D"/>
    <w:rsid w:val="00E77C7C"/>
    <w:rsid w:val="00E8178E"/>
    <w:rsid w:val="00E81901"/>
    <w:rsid w:val="00E83C6E"/>
    <w:rsid w:val="00E8491B"/>
    <w:rsid w:val="00E85458"/>
    <w:rsid w:val="00E86EA3"/>
    <w:rsid w:val="00E874D9"/>
    <w:rsid w:val="00E875CA"/>
    <w:rsid w:val="00E87BFF"/>
    <w:rsid w:val="00E87E01"/>
    <w:rsid w:val="00E902B5"/>
    <w:rsid w:val="00E9141D"/>
    <w:rsid w:val="00E91DFC"/>
    <w:rsid w:val="00E92C3F"/>
    <w:rsid w:val="00E92C48"/>
    <w:rsid w:val="00E92F7E"/>
    <w:rsid w:val="00E94AFA"/>
    <w:rsid w:val="00E955EC"/>
    <w:rsid w:val="00E956CC"/>
    <w:rsid w:val="00E959D8"/>
    <w:rsid w:val="00E95CCA"/>
    <w:rsid w:val="00E9646F"/>
    <w:rsid w:val="00E9743F"/>
    <w:rsid w:val="00EA0277"/>
    <w:rsid w:val="00EA11F0"/>
    <w:rsid w:val="00EA1D11"/>
    <w:rsid w:val="00EA200F"/>
    <w:rsid w:val="00EA2024"/>
    <w:rsid w:val="00EA2C07"/>
    <w:rsid w:val="00EA2C64"/>
    <w:rsid w:val="00EA33BA"/>
    <w:rsid w:val="00EA4C70"/>
    <w:rsid w:val="00EA582C"/>
    <w:rsid w:val="00EA58FC"/>
    <w:rsid w:val="00EA79E0"/>
    <w:rsid w:val="00EB0540"/>
    <w:rsid w:val="00EB054E"/>
    <w:rsid w:val="00EB1D8D"/>
    <w:rsid w:val="00EB2329"/>
    <w:rsid w:val="00EB300D"/>
    <w:rsid w:val="00EB326D"/>
    <w:rsid w:val="00EB400A"/>
    <w:rsid w:val="00EB41A8"/>
    <w:rsid w:val="00EB48CC"/>
    <w:rsid w:val="00EB73BB"/>
    <w:rsid w:val="00EB73CD"/>
    <w:rsid w:val="00EB752C"/>
    <w:rsid w:val="00EC105A"/>
    <w:rsid w:val="00EC20A8"/>
    <w:rsid w:val="00EC228A"/>
    <w:rsid w:val="00EC2381"/>
    <w:rsid w:val="00EC23A8"/>
    <w:rsid w:val="00EC318E"/>
    <w:rsid w:val="00EC4368"/>
    <w:rsid w:val="00EC4DC3"/>
    <w:rsid w:val="00EC5675"/>
    <w:rsid w:val="00EC684C"/>
    <w:rsid w:val="00EC791D"/>
    <w:rsid w:val="00ED01A5"/>
    <w:rsid w:val="00ED0938"/>
    <w:rsid w:val="00ED13D3"/>
    <w:rsid w:val="00ED3125"/>
    <w:rsid w:val="00ED3538"/>
    <w:rsid w:val="00ED40A5"/>
    <w:rsid w:val="00ED449E"/>
    <w:rsid w:val="00ED482B"/>
    <w:rsid w:val="00ED5804"/>
    <w:rsid w:val="00ED5BE6"/>
    <w:rsid w:val="00ED5C8A"/>
    <w:rsid w:val="00ED6199"/>
    <w:rsid w:val="00ED6442"/>
    <w:rsid w:val="00ED76AD"/>
    <w:rsid w:val="00ED79D7"/>
    <w:rsid w:val="00EE0A89"/>
    <w:rsid w:val="00EE115B"/>
    <w:rsid w:val="00EE1956"/>
    <w:rsid w:val="00EE29C9"/>
    <w:rsid w:val="00EE2AB4"/>
    <w:rsid w:val="00EE2EF4"/>
    <w:rsid w:val="00EE3302"/>
    <w:rsid w:val="00EE3809"/>
    <w:rsid w:val="00EE3F14"/>
    <w:rsid w:val="00EE44D6"/>
    <w:rsid w:val="00EE4F04"/>
    <w:rsid w:val="00EE5A67"/>
    <w:rsid w:val="00EE5E59"/>
    <w:rsid w:val="00EE65A9"/>
    <w:rsid w:val="00EE706E"/>
    <w:rsid w:val="00EF0E2C"/>
    <w:rsid w:val="00EF12A6"/>
    <w:rsid w:val="00EF197D"/>
    <w:rsid w:val="00EF1CBE"/>
    <w:rsid w:val="00EF2F2C"/>
    <w:rsid w:val="00EF45DA"/>
    <w:rsid w:val="00EF48AA"/>
    <w:rsid w:val="00EF5ACC"/>
    <w:rsid w:val="00EF61CE"/>
    <w:rsid w:val="00EF75FF"/>
    <w:rsid w:val="00EF7719"/>
    <w:rsid w:val="00EF7D2B"/>
    <w:rsid w:val="00F002E6"/>
    <w:rsid w:val="00F01220"/>
    <w:rsid w:val="00F03666"/>
    <w:rsid w:val="00F05A5A"/>
    <w:rsid w:val="00F067FE"/>
    <w:rsid w:val="00F06A2C"/>
    <w:rsid w:val="00F06F1D"/>
    <w:rsid w:val="00F07710"/>
    <w:rsid w:val="00F07B13"/>
    <w:rsid w:val="00F11238"/>
    <w:rsid w:val="00F11778"/>
    <w:rsid w:val="00F118F7"/>
    <w:rsid w:val="00F13999"/>
    <w:rsid w:val="00F13CAC"/>
    <w:rsid w:val="00F146F2"/>
    <w:rsid w:val="00F14C10"/>
    <w:rsid w:val="00F14C94"/>
    <w:rsid w:val="00F17164"/>
    <w:rsid w:val="00F1729F"/>
    <w:rsid w:val="00F17AC3"/>
    <w:rsid w:val="00F20096"/>
    <w:rsid w:val="00F20495"/>
    <w:rsid w:val="00F20A69"/>
    <w:rsid w:val="00F218F1"/>
    <w:rsid w:val="00F22198"/>
    <w:rsid w:val="00F23957"/>
    <w:rsid w:val="00F26632"/>
    <w:rsid w:val="00F27354"/>
    <w:rsid w:val="00F2750C"/>
    <w:rsid w:val="00F30661"/>
    <w:rsid w:val="00F3108C"/>
    <w:rsid w:val="00F31782"/>
    <w:rsid w:val="00F31BB8"/>
    <w:rsid w:val="00F32AC9"/>
    <w:rsid w:val="00F32D74"/>
    <w:rsid w:val="00F3468B"/>
    <w:rsid w:val="00F34930"/>
    <w:rsid w:val="00F34C66"/>
    <w:rsid w:val="00F3503A"/>
    <w:rsid w:val="00F3568F"/>
    <w:rsid w:val="00F3626C"/>
    <w:rsid w:val="00F366D7"/>
    <w:rsid w:val="00F37C91"/>
    <w:rsid w:val="00F40F7E"/>
    <w:rsid w:val="00F41EA2"/>
    <w:rsid w:val="00F42199"/>
    <w:rsid w:val="00F4222C"/>
    <w:rsid w:val="00F423D4"/>
    <w:rsid w:val="00F4462B"/>
    <w:rsid w:val="00F453A4"/>
    <w:rsid w:val="00F45759"/>
    <w:rsid w:val="00F4588F"/>
    <w:rsid w:val="00F45CD1"/>
    <w:rsid w:val="00F463C4"/>
    <w:rsid w:val="00F464EE"/>
    <w:rsid w:val="00F47C3F"/>
    <w:rsid w:val="00F502EB"/>
    <w:rsid w:val="00F50E76"/>
    <w:rsid w:val="00F519D0"/>
    <w:rsid w:val="00F5351D"/>
    <w:rsid w:val="00F540B5"/>
    <w:rsid w:val="00F54C71"/>
    <w:rsid w:val="00F55089"/>
    <w:rsid w:val="00F56281"/>
    <w:rsid w:val="00F563AF"/>
    <w:rsid w:val="00F56786"/>
    <w:rsid w:val="00F57A65"/>
    <w:rsid w:val="00F57A9B"/>
    <w:rsid w:val="00F57F7C"/>
    <w:rsid w:val="00F60F38"/>
    <w:rsid w:val="00F630A0"/>
    <w:rsid w:val="00F6563D"/>
    <w:rsid w:val="00F657FA"/>
    <w:rsid w:val="00F65E92"/>
    <w:rsid w:val="00F668E3"/>
    <w:rsid w:val="00F668EE"/>
    <w:rsid w:val="00F67C76"/>
    <w:rsid w:val="00F70034"/>
    <w:rsid w:val="00F70426"/>
    <w:rsid w:val="00F70A91"/>
    <w:rsid w:val="00F70EF4"/>
    <w:rsid w:val="00F7130B"/>
    <w:rsid w:val="00F71455"/>
    <w:rsid w:val="00F736B0"/>
    <w:rsid w:val="00F74393"/>
    <w:rsid w:val="00F74927"/>
    <w:rsid w:val="00F750ED"/>
    <w:rsid w:val="00F759DD"/>
    <w:rsid w:val="00F75D99"/>
    <w:rsid w:val="00F75E17"/>
    <w:rsid w:val="00F75E82"/>
    <w:rsid w:val="00F768C8"/>
    <w:rsid w:val="00F7716E"/>
    <w:rsid w:val="00F77443"/>
    <w:rsid w:val="00F77862"/>
    <w:rsid w:val="00F77BE6"/>
    <w:rsid w:val="00F81340"/>
    <w:rsid w:val="00F81A38"/>
    <w:rsid w:val="00F8326F"/>
    <w:rsid w:val="00F83AA4"/>
    <w:rsid w:val="00F83CA6"/>
    <w:rsid w:val="00F840B5"/>
    <w:rsid w:val="00F852EF"/>
    <w:rsid w:val="00F85775"/>
    <w:rsid w:val="00F8590B"/>
    <w:rsid w:val="00F86189"/>
    <w:rsid w:val="00F8682E"/>
    <w:rsid w:val="00F86930"/>
    <w:rsid w:val="00F87A88"/>
    <w:rsid w:val="00F87B26"/>
    <w:rsid w:val="00F90221"/>
    <w:rsid w:val="00F90391"/>
    <w:rsid w:val="00F9055B"/>
    <w:rsid w:val="00F912B0"/>
    <w:rsid w:val="00F91412"/>
    <w:rsid w:val="00F915AE"/>
    <w:rsid w:val="00F92490"/>
    <w:rsid w:val="00F9365F"/>
    <w:rsid w:val="00F93D13"/>
    <w:rsid w:val="00F943E1"/>
    <w:rsid w:val="00F9440B"/>
    <w:rsid w:val="00F946A0"/>
    <w:rsid w:val="00F949DB"/>
    <w:rsid w:val="00F95393"/>
    <w:rsid w:val="00F96F78"/>
    <w:rsid w:val="00FA1145"/>
    <w:rsid w:val="00FA19E0"/>
    <w:rsid w:val="00FA1F5B"/>
    <w:rsid w:val="00FA2632"/>
    <w:rsid w:val="00FA29A1"/>
    <w:rsid w:val="00FA2C67"/>
    <w:rsid w:val="00FA3D7F"/>
    <w:rsid w:val="00FA4E85"/>
    <w:rsid w:val="00FA53DA"/>
    <w:rsid w:val="00FA53EA"/>
    <w:rsid w:val="00FA6389"/>
    <w:rsid w:val="00FA6BB0"/>
    <w:rsid w:val="00FA6CA9"/>
    <w:rsid w:val="00FA6CF0"/>
    <w:rsid w:val="00FB1ABD"/>
    <w:rsid w:val="00FB396B"/>
    <w:rsid w:val="00FB3C6A"/>
    <w:rsid w:val="00FB41C1"/>
    <w:rsid w:val="00FB522E"/>
    <w:rsid w:val="00FB6B4F"/>
    <w:rsid w:val="00FB6E9A"/>
    <w:rsid w:val="00FB7102"/>
    <w:rsid w:val="00FB7DD1"/>
    <w:rsid w:val="00FB7DF9"/>
    <w:rsid w:val="00FC12EB"/>
    <w:rsid w:val="00FC201B"/>
    <w:rsid w:val="00FC268D"/>
    <w:rsid w:val="00FC4095"/>
    <w:rsid w:val="00FC4E3B"/>
    <w:rsid w:val="00FC57A2"/>
    <w:rsid w:val="00FC57C6"/>
    <w:rsid w:val="00FC5C54"/>
    <w:rsid w:val="00FC6403"/>
    <w:rsid w:val="00FC68BF"/>
    <w:rsid w:val="00FC6922"/>
    <w:rsid w:val="00FD0B7E"/>
    <w:rsid w:val="00FD1474"/>
    <w:rsid w:val="00FD19DC"/>
    <w:rsid w:val="00FD1E4B"/>
    <w:rsid w:val="00FD442E"/>
    <w:rsid w:val="00FD54AB"/>
    <w:rsid w:val="00FD65F4"/>
    <w:rsid w:val="00FD6AD2"/>
    <w:rsid w:val="00FD6D08"/>
    <w:rsid w:val="00FD754A"/>
    <w:rsid w:val="00FE0663"/>
    <w:rsid w:val="00FE0BFB"/>
    <w:rsid w:val="00FE16EC"/>
    <w:rsid w:val="00FE1837"/>
    <w:rsid w:val="00FE1A7F"/>
    <w:rsid w:val="00FE1C87"/>
    <w:rsid w:val="00FE2098"/>
    <w:rsid w:val="00FE2A40"/>
    <w:rsid w:val="00FE2B41"/>
    <w:rsid w:val="00FE2F59"/>
    <w:rsid w:val="00FE30E9"/>
    <w:rsid w:val="00FE321E"/>
    <w:rsid w:val="00FE4507"/>
    <w:rsid w:val="00FE535D"/>
    <w:rsid w:val="00FE5E72"/>
    <w:rsid w:val="00FF01FD"/>
    <w:rsid w:val="00FF09EF"/>
    <w:rsid w:val="00FF1160"/>
    <w:rsid w:val="00FF116E"/>
    <w:rsid w:val="00FF1A5C"/>
    <w:rsid w:val="00FF24F0"/>
    <w:rsid w:val="00FF2A84"/>
    <w:rsid w:val="00FF2B38"/>
    <w:rsid w:val="00FF3579"/>
    <w:rsid w:val="00FF36CD"/>
    <w:rsid w:val="00FF3C8F"/>
    <w:rsid w:val="00FF3F57"/>
    <w:rsid w:val="00FF4DFC"/>
    <w:rsid w:val="00FF5F46"/>
    <w:rsid w:val="00FF663C"/>
    <w:rsid w:val="00FF6A47"/>
    <w:rsid w:val="00FF71C2"/>
    <w:rsid w:val="00FF72F7"/>
    <w:rsid w:val="01068704"/>
    <w:rsid w:val="01BAE81E"/>
    <w:rsid w:val="0235AFBA"/>
    <w:rsid w:val="02527E1A"/>
    <w:rsid w:val="02758EDB"/>
    <w:rsid w:val="02D2C264"/>
    <w:rsid w:val="03126F52"/>
    <w:rsid w:val="031475DB"/>
    <w:rsid w:val="033A3983"/>
    <w:rsid w:val="0385CE31"/>
    <w:rsid w:val="03996D04"/>
    <w:rsid w:val="03B67169"/>
    <w:rsid w:val="03CBAFFB"/>
    <w:rsid w:val="03F9F0CE"/>
    <w:rsid w:val="041127AD"/>
    <w:rsid w:val="04175275"/>
    <w:rsid w:val="0442420B"/>
    <w:rsid w:val="0466C62F"/>
    <w:rsid w:val="046D1DE4"/>
    <w:rsid w:val="04DFD477"/>
    <w:rsid w:val="052B6B90"/>
    <w:rsid w:val="054712A0"/>
    <w:rsid w:val="054FDBE4"/>
    <w:rsid w:val="0555ECC7"/>
    <w:rsid w:val="05641E90"/>
    <w:rsid w:val="059407D2"/>
    <w:rsid w:val="05D27F80"/>
    <w:rsid w:val="05E70764"/>
    <w:rsid w:val="05F286C0"/>
    <w:rsid w:val="06252C57"/>
    <w:rsid w:val="06285182"/>
    <w:rsid w:val="065F78D5"/>
    <w:rsid w:val="06744EE6"/>
    <w:rsid w:val="0680FE29"/>
    <w:rsid w:val="0689A6F1"/>
    <w:rsid w:val="06AA4F1D"/>
    <w:rsid w:val="06D94B5B"/>
    <w:rsid w:val="06EAB78E"/>
    <w:rsid w:val="0715F75D"/>
    <w:rsid w:val="07777FC5"/>
    <w:rsid w:val="0788BFB7"/>
    <w:rsid w:val="082FEEBC"/>
    <w:rsid w:val="0858F83D"/>
    <w:rsid w:val="08A2457B"/>
    <w:rsid w:val="08A315C8"/>
    <w:rsid w:val="08A7CE85"/>
    <w:rsid w:val="08BD087A"/>
    <w:rsid w:val="08BE8B6D"/>
    <w:rsid w:val="08E6E65D"/>
    <w:rsid w:val="09179928"/>
    <w:rsid w:val="09513160"/>
    <w:rsid w:val="0973DD79"/>
    <w:rsid w:val="099EC112"/>
    <w:rsid w:val="09A1B277"/>
    <w:rsid w:val="09A25C7B"/>
    <w:rsid w:val="09B46603"/>
    <w:rsid w:val="09C37F7D"/>
    <w:rsid w:val="0A0CFCDD"/>
    <w:rsid w:val="0A2EB999"/>
    <w:rsid w:val="0A5074C0"/>
    <w:rsid w:val="0A5C8C97"/>
    <w:rsid w:val="0AC7DA2A"/>
    <w:rsid w:val="0AFD786D"/>
    <w:rsid w:val="0B40D075"/>
    <w:rsid w:val="0B5CA96D"/>
    <w:rsid w:val="0BBD6F03"/>
    <w:rsid w:val="0BC1955B"/>
    <w:rsid w:val="0BCA4C83"/>
    <w:rsid w:val="0BD1CF4B"/>
    <w:rsid w:val="0BFB84B0"/>
    <w:rsid w:val="0BFB9097"/>
    <w:rsid w:val="0C11A192"/>
    <w:rsid w:val="0C308D70"/>
    <w:rsid w:val="0C3B5EA9"/>
    <w:rsid w:val="0CD1BC99"/>
    <w:rsid w:val="0CD930C9"/>
    <w:rsid w:val="0CEBC429"/>
    <w:rsid w:val="0CEBC7AE"/>
    <w:rsid w:val="0D2C7428"/>
    <w:rsid w:val="0D32B072"/>
    <w:rsid w:val="0D3CDDBA"/>
    <w:rsid w:val="0D852715"/>
    <w:rsid w:val="0DB643DB"/>
    <w:rsid w:val="0DD374A9"/>
    <w:rsid w:val="0E09FEA3"/>
    <w:rsid w:val="0E2FA52C"/>
    <w:rsid w:val="0E35E0F1"/>
    <w:rsid w:val="0E4C81DC"/>
    <w:rsid w:val="0E5D01DE"/>
    <w:rsid w:val="0E973F5C"/>
    <w:rsid w:val="0EC31471"/>
    <w:rsid w:val="0ECC85CF"/>
    <w:rsid w:val="0ECD69C6"/>
    <w:rsid w:val="0ED4FB90"/>
    <w:rsid w:val="0EF9BB07"/>
    <w:rsid w:val="0EFB891F"/>
    <w:rsid w:val="0F303C59"/>
    <w:rsid w:val="0F4D249A"/>
    <w:rsid w:val="0F6C64C6"/>
    <w:rsid w:val="0FA6DC75"/>
    <w:rsid w:val="0FB591E1"/>
    <w:rsid w:val="0FC9481B"/>
    <w:rsid w:val="0FCEC7EE"/>
    <w:rsid w:val="0FDEF7A0"/>
    <w:rsid w:val="0FF56A85"/>
    <w:rsid w:val="1017F6EA"/>
    <w:rsid w:val="1052236A"/>
    <w:rsid w:val="10636F2C"/>
    <w:rsid w:val="1075C7D0"/>
    <w:rsid w:val="10F14ABA"/>
    <w:rsid w:val="11046D4A"/>
    <w:rsid w:val="117455CD"/>
    <w:rsid w:val="117690E1"/>
    <w:rsid w:val="11837DDE"/>
    <w:rsid w:val="11B66881"/>
    <w:rsid w:val="11BA01AC"/>
    <w:rsid w:val="11DD29D2"/>
    <w:rsid w:val="11FA85A4"/>
    <w:rsid w:val="12077F01"/>
    <w:rsid w:val="120EA82C"/>
    <w:rsid w:val="123BFC2A"/>
    <w:rsid w:val="125BD910"/>
    <w:rsid w:val="1264B636"/>
    <w:rsid w:val="126BBCD8"/>
    <w:rsid w:val="128650D6"/>
    <w:rsid w:val="12D48921"/>
    <w:rsid w:val="133BB19F"/>
    <w:rsid w:val="133CC847"/>
    <w:rsid w:val="13463C94"/>
    <w:rsid w:val="13607419"/>
    <w:rsid w:val="13C633CB"/>
    <w:rsid w:val="13FC1B0E"/>
    <w:rsid w:val="145D0D79"/>
    <w:rsid w:val="145E1D33"/>
    <w:rsid w:val="146545D0"/>
    <w:rsid w:val="14C22D20"/>
    <w:rsid w:val="14F5A288"/>
    <w:rsid w:val="150A96A4"/>
    <w:rsid w:val="1516AC67"/>
    <w:rsid w:val="153EDED1"/>
    <w:rsid w:val="15493CD0"/>
    <w:rsid w:val="156DAC52"/>
    <w:rsid w:val="159AEC54"/>
    <w:rsid w:val="15CD0AD2"/>
    <w:rsid w:val="15E1937C"/>
    <w:rsid w:val="15ECC2E0"/>
    <w:rsid w:val="1681CF45"/>
    <w:rsid w:val="168FFFDC"/>
    <w:rsid w:val="16E5AB23"/>
    <w:rsid w:val="1728123E"/>
    <w:rsid w:val="175916EF"/>
    <w:rsid w:val="179C05FE"/>
    <w:rsid w:val="17C0B0F9"/>
    <w:rsid w:val="1835689B"/>
    <w:rsid w:val="18411411"/>
    <w:rsid w:val="185376EE"/>
    <w:rsid w:val="185E53E3"/>
    <w:rsid w:val="18905CBC"/>
    <w:rsid w:val="18C4B89D"/>
    <w:rsid w:val="18CA1123"/>
    <w:rsid w:val="18D8BED3"/>
    <w:rsid w:val="18DE40B6"/>
    <w:rsid w:val="19733FD8"/>
    <w:rsid w:val="198D79FF"/>
    <w:rsid w:val="19961275"/>
    <w:rsid w:val="19A48D9D"/>
    <w:rsid w:val="1A0D0410"/>
    <w:rsid w:val="1A396CE9"/>
    <w:rsid w:val="1A568F3E"/>
    <w:rsid w:val="1A707059"/>
    <w:rsid w:val="1A87318C"/>
    <w:rsid w:val="1AFCFA97"/>
    <w:rsid w:val="1B51695F"/>
    <w:rsid w:val="1B5F4F3A"/>
    <w:rsid w:val="1BAA7168"/>
    <w:rsid w:val="1BE4350A"/>
    <w:rsid w:val="1BE9EC29"/>
    <w:rsid w:val="1C1BE227"/>
    <w:rsid w:val="1C3C65B5"/>
    <w:rsid w:val="1C413B64"/>
    <w:rsid w:val="1C4F58E6"/>
    <w:rsid w:val="1C6A0125"/>
    <w:rsid w:val="1C82E6BE"/>
    <w:rsid w:val="1C83FC78"/>
    <w:rsid w:val="1C8D5414"/>
    <w:rsid w:val="1D303C55"/>
    <w:rsid w:val="1D5E3400"/>
    <w:rsid w:val="1D8C1DE7"/>
    <w:rsid w:val="1D8FBED5"/>
    <w:rsid w:val="1D9B96D9"/>
    <w:rsid w:val="1DE2392F"/>
    <w:rsid w:val="1E2A3373"/>
    <w:rsid w:val="1E2AB2BD"/>
    <w:rsid w:val="1E334831"/>
    <w:rsid w:val="1E3E5B3B"/>
    <w:rsid w:val="1E45AC00"/>
    <w:rsid w:val="1EA670EF"/>
    <w:rsid w:val="1F161DDD"/>
    <w:rsid w:val="1F630CDC"/>
    <w:rsid w:val="1F6D060E"/>
    <w:rsid w:val="1F9C87D7"/>
    <w:rsid w:val="1FC8AE95"/>
    <w:rsid w:val="1FD68777"/>
    <w:rsid w:val="1FF48EA6"/>
    <w:rsid w:val="2004EEA2"/>
    <w:rsid w:val="200A41D3"/>
    <w:rsid w:val="2039E212"/>
    <w:rsid w:val="2085B12F"/>
    <w:rsid w:val="2088DC93"/>
    <w:rsid w:val="20894599"/>
    <w:rsid w:val="20A5DF94"/>
    <w:rsid w:val="20E22DC8"/>
    <w:rsid w:val="21816487"/>
    <w:rsid w:val="2193ABC2"/>
    <w:rsid w:val="21DC7201"/>
    <w:rsid w:val="21DDE777"/>
    <w:rsid w:val="21E61111"/>
    <w:rsid w:val="21ECC94C"/>
    <w:rsid w:val="220FFDBF"/>
    <w:rsid w:val="2210C83B"/>
    <w:rsid w:val="2246F01C"/>
    <w:rsid w:val="224B5D34"/>
    <w:rsid w:val="227E10B6"/>
    <w:rsid w:val="228F0053"/>
    <w:rsid w:val="22943C7D"/>
    <w:rsid w:val="2294A266"/>
    <w:rsid w:val="22D0B66C"/>
    <w:rsid w:val="22E4C326"/>
    <w:rsid w:val="22F4B5A2"/>
    <w:rsid w:val="231A26FB"/>
    <w:rsid w:val="23469088"/>
    <w:rsid w:val="23483D0B"/>
    <w:rsid w:val="2356256C"/>
    <w:rsid w:val="235EB346"/>
    <w:rsid w:val="235FF3F6"/>
    <w:rsid w:val="236C8AFA"/>
    <w:rsid w:val="237B7672"/>
    <w:rsid w:val="23A54D5B"/>
    <w:rsid w:val="2462A6BE"/>
    <w:rsid w:val="24743157"/>
    <w:rsid w:val="24960F0D"/>
    <w:rsid w:val="24CF87BB"/>
    <w:rsid w:val="254F2B8B"/>
    <w:rsid w:val="25562892"/>
    <w:rsid w:val="256ACCEB"/>
    <w:rsid w:val="2580251D"/>
    <w:rsid w:val="25946518"/>
    <w:rsid w:val="25A5D576"/>
    <w:rsid w:val="260533A8"/>
    <w:rsid w:val="2634D07A"/>
    <w:rsid w:val="267E1589"/>
    <w:rsid w:val="26A13136"/>
    <w:rsid w:val="26AF04B1"/>
    <w:rsid w:val="26F5DBFA"/>
    <w:rsid w:val="26FD7C85"/>
    <w:rsid w:val="2739D205"/>
    <w:rsid w:val="275EECB5"/>
    <w:rsid w:val="2765354B"/>
    <w:rsid w:val="276544AC"/>
    <w:rsid w:val="27DAC5F6"/>
    <w:rsid w:val="2803AEB4"/>
    <w:rsid w:val="280DD7CA"/>
    <w:rsid w:val="28950EAD"/>
    <w:rsid w:val="28DB66D6"/>
    <w:rsid w:val="28DE4F83"/>
    <w:rsid w:val="28F1B2A5"/>
    <w:rsid w:val="2914DF1A"/>
    <w:rsid w:val="297DD4C9"/>
    <w:rsid w:val="29D16D89"/>
    <w:rsid w:val="29FD32EA"/>
    <w:rsid w:val="2A037161"/>
    <w:rsid w:val="2A1CC1D5"/>
    <w:rsid w:val="2A3BCF7B"/>
    <w:rsid w:val="2A4AAA17"/>
    <w:rsid w:val="2A6CFB3E"/>
    <w:rsid w:val="2AAE1949"/>
    <w:rsid w:val="2AEC7136"/>
    <w:rsid w:val="2AEE890C"/>
    <w:rsid w:val="2AFC6731"/>
    <w:rsid w:val="2B0F0283"/>
    <w:rsid w:val="2B170075"/>
    <w:rsid w:val="2B2852DE"/>
    <w:rsid w:val="2B7D2A15"/>
    <w:rsid w:val="2B826E92"/>
    <w:rsid w:val="2BE1AEC5"/>
    <w:rsid w:val="2BE5AAF3"/>
    <w:rsid w:val="2C187487"/>
    <w:rsid w:val="2C33E115"/>
    <w:rsid w:val="2C587438"/>
    <w:rsid w:val="2C75C4A9"/>
    <w:rsid w:val="2C7AD87D"/>
    <w:rsid w:val="2C7D6D58"/>
    <w:rsid w:val="2CA3AFD2"/>
    <w:rsid w:val="2CB0F94E"/>
    <w:rsid w:val="2CC13471"/>
    <w:rsid w:val="2CCB2059"/>
    <w:rsid w:val="2CD633D2"/>
    <w:rsid w:val="2D104029"/>
    <w:rsid w:val="2D8E8317"/>
    <w:rsid w:val="2DAFB3AA"/>
    <w:rsid w:val="2DC217BF"/>
    <w:rsid w:val="2DC78717"/>
    <w:rsid w:val="2DE640C2"/>
    <w:rsid w:val="2DE82CA1"/>
    <w:rsid w:val="2E1762F0"/>
    <w:rsid w:val="2E51F5C9"/>
    <w:rsid w:val="2E64E926"/>
    <w:rsid w:val="2E839725"/>
    <w:rsid w:val="2EB481A8"/>
    <w:rsid w:val="2ECC2F13"/>
    <w:rsid w:val="2F02E96C"/>
    <w:rsid w:val="2F2C76A8"/>
    <w:rsid w:val="2F39AB99"/>
    <w:rsid w:val="2F3F4CF8"/>
    <w:rsid w:val="2F6CDBBE"/>
    <w:rsid w:val="2F72291A"/>
    <w:rsid w:val="2F98A94D"/>
    <w:rsid w:val="2F9EC0E9"/>
    <w:rsid w:val="2F9F416C"/>
    <w:rsid w:val="2FAE0FEC"/>
    <w:rsid w:val="2FDAB7AE"/>
    <w:rsid w:val="2FE539DC"/>
    <w:rsid w:val="30094076"/>
    <w:rsid w:val="305CB3FD"/>
    <w:rsid w:val="305D20CE"/>
    <w:rsid w:val="30739F55"/>
    <w:rsid w:val="30E77E78"/>
    <w:rsid w:val="30F212C4"/>
    <w:rsid w:val="30F6CC84"/>
    <w:rsid w:val="3112F793"/>
    <w:rsid w:val="314739ED"/>
    <w:rsid w:val="3167FD0A"/>
    <w:rsid w:val="3170891B"/>
    <w:rsid w:val="3184F950"/>
    <w:rsid w:val="31A2FB06"/>
    <w:rsid w:val="320525B6"/>
    <w:rsid w:val="3227724B"/>
    <w:rsid w:val="323A1C8E"/>
    <w:rsid w:val="325D756F"/>
    <w:rsid w:val="328D71E4"/>
    <w:rsid w:val="32A9FE6B"/>
    <w:rsid w:val="32ADF2B1"/>
    <w:rsid w:val="32BB0EFF"/>
    <w:rsid w:val="32DFC0EB"/>
    <w:rsid w:val="32EA80F9"/>
    <w:rsid w:val="32F30B1A"/>
    <w:rsid w:val="332F60DA"/>
    <w:rsid w:val="33534A46"/>
    <w:rsid w:val="33AA2906"/>
    <w:rsid w:val="33C449C0"/>
    <w:rsid w:val="340DDB80"/>
    <w:rsid w:val="3456C57B"/>
    <w:rsid w:val="345E62D2"/>
    <w:rsid w:val="34740779"/>
    <w:rsid w:val="34FE8405"/>
    <w:rsid w:val="35186A17"/>
    <w:rsid w:val="351B7EDD"/>
    <w:rsid w:val="354F7373"/>
    <w:rsid w:val="35587C9C"/>
    <w:rsid w:val="35876A84"/>
    <w:rsid w:val="3589270C"/>
    <w:rsid w:val="35A7C640"/>
    <w:rsid w:val="35BE6DA0"/>
    <w:rsid w:val="35D41D9A"/>
    <w:rsid w:val="35D5AC98"/>
    <w:rsid w:val="362E0D34"/>
    <w:rsid w:val="365F0A3E"/>
    <w:rsid w:val="36C4839C"/>
    <w:rsid w:val="36E9584A"/>
    <w:rsid w:val="36EFECD9"/>
    <w:rsid w:val="37009964"/>
    <w:rsid w:val="371A4908"/>
    <w:rsid w:val="375319F2"/>
    <w:rsid w:val="37678523"/>
    <w:rsid w:val="37BA79FD"/>
    <w:rsid w:val="37D5933E"/>
    <w:rsid w:val="37EB41B4"/>
    <w:rsid w:val="37F207A3"/>
    <w:rsid w:val="381F3FAC"/>
    <w:rsid w:val="385215F1"/>
    <w:rsid w:val="38664FAA"/>
    <w:rsid w:val="38B20E58"/>
    <w:rsid w:val="38C72486"/>
    <w:rsid w:val="38EB1CFD"/>
    <w:rsid w:val="38F0EC9B"/>
    <w:rsid w:val="39522520"/>
    <w:rsid w:val="39B3CDEB"/>
    <w:rsid w:val="39B5232B"/>
    <w:rsid w:val="39E124D0"/>
    <w:rsid w:val="3A42B9D9"/>
    <w:rsid w:val="3A586856"/>
    <w:rsid w:val="3ABC3493"/>
    <w:rsid w:val="3ACBCEC0"/>
    <w:rsid w:val="3ADC3D2E"/>
    <w:rsid w:val="3B0C24B6"/>
    <w:rsid w:val="3B428F39"/>
    <w:rsid w:val="3B4662D6"/>
    <w:rsid w:val="3B4EE586"/>
    <w:rsid w:val="3B6B7156"/>
    <w:rsid w:val="3B8B88A2"/>
    <w:rsid w:val="3BD338CF"/>
    <w:rsid w:val="3BD49939"/>
    <w:rsid w:val="3BDFF399"/>
    <w:rsid w:val="3C130DAF"/>
    <w:rsid w:val="3C3BCD54"/>
    <w:rsid w:val="3C84772B"/>
    <w:rsid w:val="3CA2C498"/>
    <w:rsid w:val="3CE4552E"/>
    <w:rsid w:val="3CEB351B"/>
    <w:rsid w:val="3D0C8B35"/>
    <w:rsid w:val="3D63C391"/>
    <w:rsid w:val="3DB1802B"/>
    <w:rsid w:val="3DB543C0"/>
    <w:rsid w:val="3E2258E5"/>
    <w:rsid w:val="3E3381FB"/>
    <w:rsid w:val="3E366ADE"/>
    <w:rsid w:val="3EB0DF0E"/>
    <w:rsid w:val="3EEB5C44"/>
    <w:rsid w:val="3EEE0D68"/>
    <w:rsid w:val="3F73E297"/>
    <w:rsid w:val="3FF15C87"/>
    <w:rsid w:val="401A6151"/>
    <w:rsid w:val="4023315B"/>
    <w:rsid w:val="40A42969"/>
    <w:rsid w:val="40AF5A5C"/>
    <w:rsid w:val="40C8964A"/>
    <w:rsid w:val="40FDC3EF"/>
    <w:rsid w:val="4100ECDB"/>
    <w:rsid w:val="410ED56F"/>
    <w:rsid w:val="4157FD2D"/>
    <w:rsid w:val="4171A2B1"/>
    <w:rsid w:val="4193CF34"/>
    <w:rsid w:val="41CD9A35"/>
    <w:rsid w:val="41DE8473"/>
    <w:rsid w:val="421781F2"/>
    <w:rsid w:val="42831144"/>
    <w:rsid w:val="42AD591E"/>
    <w:rsid w:val="43059E90"/>
    <w:rsid w:val="430D9C53"/>
    <w:rsid w:val="43DC4FD9"/>
    <w:rsid w:val="43DEB3CA"/>
    <w:rsid w:val="43FBCEAC"/>
    <w:rsid w:val="4486C8A6"/>
    <w:rsid w:val="44AE634B"/>
    <w:rsid w:val="4549D208"/>
    <w:rsid w:val="458AD212"/>
    <w:rsid w:val="45987D38"/>
    <w:rsid w:val="45BD75F9"/>
    <w:rsid w:val="45C2775A"/>
    <w:rsid w:val="45C7E9C8"/>
    <w:rsid w:val="45DBD081"/>
    <w:rsid w:val="460431C4"/>
    <w:rsid w:val="46319698"/>
    <w:rsid w:val="46617073"/>
    <w:rsid w:val="4699FB63"/>
    <w:rsid w:val="469B6380"/>
    <w:rsid w:val="46DD0D73"/>
    <w:rsid w:val="47B9ECE2"/>
    <w:rsid w:val="47BA605B"/>
    <w:rsid w:val="47C15E3C"/>
    <w:rsid w:val="47C69974"/>
    <w:rsid w:val="47EF98EC"/>
    <w:rsid w:val="48405C1A"/>
    <w:rsid w:val="4843E061"/>
    <w:rsid w:val="4895DD68"/>
    <w:rsid w:val="48B0F8C3"/>
    <w:rsid w:val="48C839C7"/>
    <w:rsid w:val="48D0548E"/>
    <w:rsid w:val="491F4E88"/>
    <w:rsid w:val="492E7B26"/>
    <w:rsid w:val="493F40EC"/>
    <w:rsid w:val="4969C501"/>
    <w:rsid w:val="4982846D"/>
    <w:rsid w:val="49BF106A"/>
    <w:rsid w:val="49D787F1"/>
    <w:rsid w:val="4A21CDF8"/>
    <w:rsid w:val="4A55720F"/>
    <w:rsid w:val="4A685572"/>
    <w:rsid w:val="4A9BA1EC"/>
    <w:rsid w:val="4AC1B868"/>
    <w:rsid w:val="4AC4431A"/>
    <w:rsid w:val="4ADB377F"/>
    <w:rsid w:val="4AE3760E"/>
    <w:rsid w:val="4B0E24D2"/>
    <w:rsid w:val="4B25A7CD"/>
    <w:rsid w:val="4B553F5A"/>
    <w:rsid w:val="4B629418"/>
    <w:rsid w:val="4BBC7125"/>
    <w:rsid w:val="4BCC9D3E"/>
    <w:rsid w:val="4BD1249F"/>
    <w:rsid w:val="4C47C3E4"/>
    <w:rsid w:val="4C67628F"/>
    <w:rsid w:val="4C89895F"/>
    <w:rsid w:val="4C8CF424"/>
    <w:rsid w:val="4C919110"/>
    <w:rsid w:val="4CA24869"/>
    <w:rsid w:val="4CBA2E90"/>
    <w:rsid w:val="4CC8A974"/>
    <w:rsid w:val="4CCD36C1"/>
    <w:rsid w:val="4CD2C29C"/>
    <w:rsid w:val="4D34E1ED"/>
    <w:rsid w:val="4D5C67F8"/>
    <w:rsid w:val="4D696A0C"/>
    <w:rsid w:val="4D9C1273"/>
    <w:rsid w:val="4DCF85EF"/>
    <w:rsid w:val="4E0B0179"/>
    <w:rsid w:val="4E544069"/>
    <w:rsid w:val="4EC4A9DE"/>
    <w:rsid w:val="4EE007BA"/>
    <w:rsid w:val="4F5DCA7D"/>
    <w:rsid w:val="4F70C87A"/>
    <w:rsid w:val="4F8F0258"/>
    <w:rsid w:val="4FAA0E68"/>
    <w:rsid w:val="4FF55259"/>
    <w:rsid w:val="4FFC17B6"/>
    <w:rsid w:val="5004CF6C"/>
    <w:rsid w:val="504F4293"/>
    <w:rsid w:val="5098FA6D"/>
    <w:rsid w:val="50D058AB"/>
    <w:rsid w:val="512C4FA1"/>
    <w:rsid w:val="51478A4E"/>
    <w:rsid w:val="51667883"/>
    <w:rsid w:val="518E560F"/>
    <w:rsid w:val="51F44ED2"/>
    <w:rsid w:val="51FF7879"/>
    <w:rsid w:val="5230179D"/>
    <w:rsid w:val="523B4C40"/>
    <w:rsid w:val="526A050E"/>
    <w:rsid w:val="52F74F3C"/>
    <w:rsid w:val="53359B70"/>
    <w:rsid w:val="53384B17"/>
    <w:rsid w:val="533CF345"/>
    <w:rsid w:val="5363A520"/>
    <w:rsid w:val="538FCA8E"/>
    <w:rsid w:val="5397F9D3"/>
    <w:rsid w:val="53CD0E72"/>
    <w:rsid w:val="53E219FF"/>
    <w:rsid w:val="53E57836"/>
    <w:rsid w:val="53ED5D1B"/>
    <w:rsid w:val="53EFBCB3"/>
    <w:rsid w:val="53F2EE93"/>
    <w:rsid w:val="53FC957F"/>
    <w:rsid w:val="540C57B2"/>
    <w:rsid w:val="5450A36E"/>
    <w:rsid w:val="5471CC6A"/>
    <w:rsid w:val="5479483B"/>
    <w:rsid w:val="549209A6"/>
    <w:rsid w:val="54A54EC2"/>
    <w:rsid w:val="54B0F1F1"/>
    <w:rsid w:val="551CC1D4"/>
    <w:rsid w:val="552A0F48"/>
    <w:rsid w:val="5534C2E4"/>
    <w:rsid w:val="553A517A"/>
    <w:rsid w:val="5543B11D"/>
    <w:rsid w:val="556B0250"/>
    <w:rsid w:val="55CF9B11"/>
    <w:rsid w:val="561BFD53"/>
    <w:rsid w:val="56420150"/>
    <w:rsid w:val="567298BA"/>
    <w:rsid w:val="56755930"/>
    <w:rsid w:val="576590C1"/>
    <w:rsid w:val="57852B94"/>
    <w:rsid w:val="57DE5929"/>
    <w:rsid w:val="57E03FA6"/>
    <w:rsid w:val="57E22A87"/>
    <w:rsid w:val="57FF7D2A"/>
    <w:rsid w:val="5848D07E"/>
    <w:rsid w:val="585DB5D4"/>
    <w:rsid w:val="586A20AB"/>
    <w:rsid w:val="58CDFB1D"/>
    <w:rsid w:val="5902B478"/>
    <w:rsid w:val="59106796"/>
    <w:rsid w:val="59185A37"/>
    <w:rsid w:val="591F7EEA"/>
    <w:rsid w:val="593DAFB1"/>
    <w:rsid w:val="59593F7D"/>
    <w:rsid w:val="595C52D0"/>
    <w:rsid w:val="598280FE"/>
    <w:rsid w:val="59B9A07B"/>
    <w:rsid w:val="59E58F73"/>
    <w:rsid w:val="59F32554"/>
    <w:rsid w:val="5A0FC5B5"/>
    <w:rsid w:val="5A3F4836"/>
    <w:rsid w:val="5A440B09"/>
    <w:rsid w:val="5A739061"/>
    <w:rsid w:val="5A763614"/>
    <w:rsid w:val="5AA4F3FB"/>
    <w:rsid w:val="5AAD7F0E"/>
    <w:rsid w:val="5AEDEC4A"/>
    <w:rsid w:val="5B0DACA7"/>
    <w:rsid w:val="5B489C48"/>
    <w:rsid w:val="5B4EBA06"/>
    <w:rsid w:val="5B4F76A8"/>
    <w:rsid w:val="5B664729"/>
    <w:rsid w:val="5B706D81"/>
    <w:rsid w:val="5B731C28"/>
    <w:rsid w:val="5B8CDF1B"/>
    <w:rsid w:val="5B950470"/>
    <w:rsid w:val="5B9E391E"/>
    <w:rsid w:val="5C13B740"/>
    <w:rsid w:val="5C3C08AC"/>
    <w:rsid w:val="5C58FC26"/>
    <w:rsid w:val="5C59AE21"/>
    <w:rsid w:val="5C5AA182"/>
    <w:rsid w:val="5C6A14F2"/>
    <w:rsid w:val="5C9F07EC"/>
    <w:rsid w:val="5CB26EB5"/>
    <w:rsid w:val="5D0C417B"/>
    <w:rsid w:val="5D34A188"/>
    <w:rsid w:val="5D5E8760"/>
    <w:rsid w:val="5D697E3E"/>
    <w:rsid w:val="5D7CB986"/>
    <w:rsid w:val="5DB87380"/>
    <w:rsid w:val="5DBC4F0A"/>
    <w:rsid w:val="5DE310AA"/>
    <w:rsid w:val="5DED30D4"/>
    <w:rsid w:val="5DFC1FD4"/>
    <w:rsid w:val="5E0B86F1"/>
    <w:rsid w:val="5E32259D"/>
    <w:rsid w:val="5E5E3132"/>
    <w:rsid w:val="5ECA1791"/>
    <w:rsid w:val="5F04A393"/>
    <w:rsid w:val="5F07C239"/>
    <w:rsid w:val="5F1994EE"/>
    <w:rsid w:val="5F276AF8"/>
    <w:rsid w:val="5F312E56"/>
    <w:rsid w:val="5F4FE361"/>
    <w:rsid w:val="5F571BBE"/>
    <w:rsid w:val="5F76CBAB"/>
    <w:rsid w:val="5F830395"/>
    <w:rsid w:val="5FA4B29E"/>
    <w:rsid w:val="5FFCB72B"/>
    <w:rsid w:val="600A0129"/>
    <w:rsid w:val="602897C6"/>
    <w:rsid w:val="603B1675"/>
    <w:rsid w:val="604181F7"/>
    <w:rsid w:val="60531AA7"/>
    <w:rsid w:val="607FF4F3"/>
    <w:rsid w:val="60A1FE1E"/>
    <w:rsid w:val="60B06585"/>
    <w:rsid w:val="60E7CEE6"/>
    <w:rsid w:val="6120DFAF"/>
    <w:rsid w:val="613AB09E"/>
    <w:rsid w:val="614B8916"/>
    <w:rsid w:val="616CF97A"/>
    <w:rsid w:val="61900074"/>
    <w:rsid w:val="61922803"/>
    <w:rsid w:val="619E6D8C"/>
    <w:rsid w:val="61C50C93"/>
    <w:rsid w:val="62022AB5"/>
    <w:rsid w:val="623AA45A"/>
    <w:rsid w:val="626D7BEE"/>
    <w:rsid w:val="62723EF9"/>
    <w:rsid w:val="6295E6C7"/>
    <w:rsid w:val="63313B67"/>
    <w:rsid w:val="635ACC33"/>
    <w:rsid w:val="636F1341"/>
    <w:rsid w:val="63B569DD"/>
    <w:rsid w:val="63D0ED08"/>
    <w:rsid w:val="63D20B3A"/>
    <w:rsid w:val="6433FDD4"/>
    <w:rsid w:val="64656ED0"/>
    <w:rsid w:val="647C5BEA"/>
    <w:rsid w:val="64CA7433"/>
    <w:rsid w:val="64CC13FA"/>
    <w:rsid w:val="64DC5AF9"/>
    <w:rsid w:val="64DD6138"/>
    <w:rsid w:val="64FA5101"/>
    <w:rsid w:val="651DC3D2"/>
    <w:rsid w:val="6550481C"/>
    <w:rsid w:val="656098B4"/>
    <w:rsid w:val="65859F4A"/>
    <w:rsid w:val="65F6ACF5"/>
    <w:rsid w:val="6614E0AE"/>
    <w:rsid w:val="6618CEE6"/>
    <w:rsid w:val="6681890E"/>
    <w:rsid w:val="673C70F2"/>
    <w:rsid w:val="67608E7C"/>
    <w:rsid w:val="678AFE88"/>
    <w:rsid w:val="67C62DEC"/>
    <w:rsid w:val="67ECBFE1"/>
    <w:rsid w:val="67F08F81"/>
    <w:rsid w:val="6833CCDE"/>
    <w:rsid w:val="6849DE75"/>
    <w:rsid w:val="68974693"/>
    <w:rsid w:val="689C0884"/>
    <w:rsid w:val="68D41AE8"/>
    <w:rsid w:val="691464A1"/>
    <w:rsid w:val="6925A0F1"/>
    <w:rsid w:val="69607005"/>
    <w:rsid w:val="69D88852"/>
    <w:rsid w:val="69FA716F"/>
    <w:rsid w:val="6A029234"/>
    <w:rsid w:val="6A354BF2"/>
    <w:rsid w:val="6ABD1772"/>
    <w:rsid w:val="6AE8F0BF"/>
    <w:rsid w:val="6AF6260D"/>
    <w:rsid w:val="6B27157C"/>
    <w:rsid w:val="6B352977"/>
    <w:rsid w:val="6B3C2C59"/>
    <w:rsid w:val="6B48DEC0"/>
    <w:rsid w:val="6B7F59B8"/>
    <w:rsid w:val="6BBC7CAD"/>
    <w:rsid w:val="6BC67B99"/>
    <w:rsid w:val="6BD5976A"/>
    <w:rsid w:val="6C28C8EF"/>
    <w:rsid w:val="6C50B128"/>
    <w:rsid w:val="6C51F504"/>
    <w:rsid w:val="6C5AE3CB"/>
    <w:rsid w:val="6C60CBCC"/>
    <w:rsid w:val="6C9829C0"/>
    <w:rsid w:val="6CB5276A"/>
    <w:rsid w:val="6D0B9953"/>
    <w:rsid w:val="6D6715AE"/>
    <w:rsid w:val="6D6BEFDB"/>
    <w:rsid w:val="6D91DA32"/>
    <w:rsid w:val="6D9ACCF9"/>
    <w:rsid w:val="6D9D6C6F"/>
    <w:rsid w:val="6DCE83CC"/>
    <w:rsid w:val="6DDEDC7B"/>
    <w:rsid w:val="6E22AF1D"/>
    <w:rsid w:val="6E389C79"/>
    <w:rsid w:val="6E41CE16"/>
    <w:rsid w:val="6E6C9676"/>
    <w:rsid w:val="6EF6E70E"/>
    <w:rsid w:val="6EF9EC55"/>
    <w:rsid w:val="6F384EF0"/>
    <w:rsid w:val="6F3B48FD"/>
    <w:rsid w:val="6F451B73"/>
    <w:rsid w:val="6F591313"/>
    <w:rsid w:val="6F6CC3D8"/>
    <w:rsid w:val="6F73BB49"/>
    <w:rsid w:val="6F9C6822"/>
    <w:rsid w:val="6FC419F6"/>
    <w:rsid w:val="6FE6E9FB"/>
    <w:rsid w:val="70232232"/>
    <w:rsid w:val="703AF7C3"/>
    <w:rsid w:val="70763001"/>
    <w:rsid w:val="71051DD7"/>
    <w:rsid w:val="7144F806"/>
    <w:rsid w:val="719A54D4"/>
    <w:rsid w:val="71E0DB57"/>
    <w:rsid w:val="72272EDF"/>
    <w:rsid w:val="72971D36"/>
    <w:rsid w:val="72995BEE"/>
    <w:rsid w:val="72A9DF0B"/>
    <w:rsid w:val="731DC2F7"/>
    <w:rsid w:val="73C79788"/>
    <w:rsid w:val="73E450DB"/>
    <w:rsid w:val="73FA2FE8"/>
    <w:rsid w:val="74628921"/>
    <w:rsid w:val="74B5F1D9"/>
    <w:rsid w:val="74B6B15C"/>
    <w:rsid w:val="74D875B2"/>
    <w:rsid w:val="74FE436A"/>
    <w:rsid w:val="75C10A7A"/>
    <w:rsid w:val="75F53BCF"/>
    <w:rsid w:val="75F9363A"/>
    <w:rsid w:val="7640FB19"/>
    <w:rsid w:val="76AD8E75"/>
    <w:rsid w:val="76C7AE85"/>
    <w:rsid w:val="76DEA89F"/>
    <w:rsid w:val="76E951A6"/>
    <w:rsid w:val="76F84B09"/>
    <w:rsid w:val="7715CD3C"/>
    <w:rsid w:val="7717959B"/>
    <w:rsid w:val="774BA5C8"/>
    <w:rsid w:val="77DBF5A8"/>
    <w:rsid w:val="78660D94"/>
    <w:rsid w:val="787285DD"/>
    <w:rsid w:val="7886822D"/>
    <w:rsid w:val="788E724D"/>
    <w:rsid w:val="78BC0EA0"/>
    <w:rsid w:val="78CD1CEC"/>
    <w:rsid w:val="78EB0DF2"/>
    <w:rsid w:val="78F5CB6E"/>
    <w:rsid w:val="790C9F0E"/>
    <w:rsid w:val="794753E9"/>
    <w:rsid w:val="794FC5DE"/>
    <w:rsid w:val="7972D1E8"/>
    <w:rsid w:val="7992F00D"/>
    <w:rsid w:val="7A2D24E0"/>
    <w:rsid w:val="7A4CAFDE"/>
    <w:rsid w:val="7A5B01EA"/>
    <w:rsid w:val="7AC02687"/>
    <w:rsid w:val="7AFF4A4E"/>
    <w:rsid w:val="7B2BE58E"/>
    <w:rsid w:val="7B435C14"/>
    <w:rsid w:val="7B6126BC"/>
    <w:rsid w:val="7B70D03D"/>
    <w:rsid w:val="7BBCA930"/>
    <w:rsid w:val="7BD9E089"/>
    <w:rsid w:val="7BF5CE4E"/>
    <w:rsid w:val="7C05CB15"/>
    <w:rsid w:val="7C3BC60B"/>
    <w:rsid w:val="7C664801"/>
    <w:rsid w:val="7C9FB578"/>
    <w:rsid w:val="7CE90D84"/>
    <w:rsid w:val="7CF33FA0"/>
    <w:rsid w:val="7CFE129C"/>
    <w:rsid w:val="7D2EE857"/>
    <w:rsid w:val="7D2F3715"/>
    <w:rsid w:val="7D528B94"/>
    <w:rsid w:val="7D813627"/>
    <w:rsid w:val="7DB17743"/>
    <w:rsid w:val="7DD899DA"/>
    <w:rsid w:val="7DE66F5F"/>
    <w:rsid w:val="7E398D6A"/>
    <w:rsid w:val="7E39EB2D"/>
    <w:rsid w:val="7E8A874D"/>
    <w:rsid w:val="7E9682D3"/>
    <w:rsid w:val="7EE7E28C"/>
    <w:rsid w:val="7F29B01D"/>
    <w:rsid w:val="7F68FCA4"/>
    <w:rsid w:val="7F70BA17"/>
    <w:rsid w:val="7F788C4C"/>
    <w:rsid w:val="7F9F71CD"/>
    <w:rsid w:val="7FCE7AB0"/>
    <w:rsid w:val="7FD6E0AE"/>
    <w:rsid w:val="7FDF003F"/>
    <w:rsid w:val="7FF345A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DF7CB"/>
  <w15:docId w15:val="{541C0CFC-1850-48C8-B287-3E329A47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2E"/>
    <w:rPr>
      <w:sz w:val="24"/>
    </w:rPr>
  </w:style>
  <w:style w:type="paragraph" w:styleId="Heading1">
    <w:name w:val="heading 1"/>
    <w:qFormat/>
    <w:rsid w:val="006D0838"/>
    <w:pPr>
      <w:pageBreakBefore/>
      <w:numPr>
        <w:numId w:val="9"/>
      </w:numPr>
      <w:spacing w:before="240" w:after="240"/>
      <w:outlineLvl w:val="0"/>
    </w:pPr>
    <w:rPr>
      <w:rFonts w:asciiTheme="minorBidi" w:hAnsiTheme="minorBidi"/>
      <w:kern w:val="28"/>
      <w:sz w:val="32"/>
    </w:rPr>
  </w:style>
  <w:style w:type="paragraph" w:styleId="Heading2">
    <w:name w:val="heading 2"/>
    <w:basedOn w:val="Normal"/>
    <w:next w:val="BodyText"/>
    <w:qFormat/>
    <w:rsid w:val="00AA6160"/>
    <w:pPr>
      <w:tabs>
        <w:tab w:val="right" w:pos="5897"/>
      </w:tabs>
      <w:outlineLvl w:val="1"/>
    </w:pPr>
    <w:rPr>
      <w:rFonts w:ascii="Arial" w:hAnsi="Arial"/>
      <w:color w:val="1E35BF"/>
      <w:spacing w:val="-2"/>
      <w:kern w:val="28"/>
      <w:sz w:val="32"/>
      <w:szCs w:val="22"/>
    </w:rPr>
  </w:style>
  <w:style w:type="paragraph" w:styleId="Heading3">
    <w:name w:val="heading 3"/>
    <w:basedOn w:val="Normal"/>
    <w:next w:val="BodyText"/>
    <w:qFormat/>
    <w:rsid w:val="00C61C78"/>
    <w:pPr>
      <w:keepNext/>
      <w:tabs>
        <w:tab w:val="right" w:pos="5897"/>
      </w:tabs>
      <w:outlineLvl w:val="2"/>
    </w:pPr>
    <w:rPr>
      <w:rFonts w:ascii="Arial" w:hAnsi="Arial"/>
      <w:color w:val="1E35BF"/>
      <w:spacing w:val="-2"/>
      <w:kern w:val="28"/>
      <w:sz w:val="28"/>
      <w:szCs w:val="28"/>
    </w:rPr>
  </w:style>
  <w:style w:type="paragraph" w:styleId="Heading4">
    <w:name w:val="heading 4"/>
    <w:basedOn w:val="Heading3"/>
    <w:next w:val="BodyText"/>
    <w:link w:val="Heading4Char"/>
    <w:unhideWhenUsed/>
    <w:qFormat/>
    <w:rsid w:val="00803F16"/>
    <w:pPr>
      <w:keepLines/>
      <w:spacing w:before="200"/>
      <w:outlineLvl w:val="3"/>
    </w:pPr>
    <w:rPr>
      <w:rFonts w:eastAsiaTheme="majorEastAsia" w:cstheme="majorBidi"/>
      <w:bCs/>
      <w:iCs/>
      <w:color w:val="808080" w:themeColor="background1" w:themeShade="80"/>
      <w:sz w:val="18"/>
    </w:rPr>
  </w:style>
  <w:style w:type="paragraph" w:styleId="Heading5">
    <w:name w:val="heading 5"/>
    <w:basedOn w:val="Normal"/>
    <w:next w:val="Normal"/>
    <w:link w:val="Heading5Char"/>
    <w:qFormat/>
    <w:rsid w:val="00491E54"/>
    <w:pPr>
      <w:keepNext/>
      <w:tabs>
        <w:tab w:val="right" w:pos="5897"/>
      </w:tabs>
      <w:autoSpaceDE w:val="0"/>
      <w:autoSpaceDN w:val="0"/>
      <w:adjustRightInd w:val="0"/>
      <w:spacing w:after="120" w:line="240" w:lineRule="atLeast"/>
      <w:jc w:val="center"/>
      <w:outlineLvl w:val="4"/>
    </w:pPr>
    <w:rPr>
      <w:rFonts w:ascii="Arial" w:hAnsi="Arial" w:cs="Arial"/>
      <w:b/>
      <w:bCs/>
      <w:sz w:val="18"/>
      <w:szCs w:val="18"/>
    </w:rPr>
  </w:style>
  <w:style w:type="paragraph" w:styleId="Heading6">
    <w:name w:val="heading 6"/>
    <w:basedOn w:val="Normal"/>
    <w:next w:val="Normal"/>
    <w:link w:val="Heading6Char"/>
    <w:qFormat/>
    <w:rsid w:val="00491E54"/>
    <w:pPr>
      <w:tabs>
        <w:tab w:val="right" w:pos="5897"/>
      </w:tabs>
      <w:spacing w:before="240" w:after="60" w:line="240" w:lineRule="atLeast"/>
      <w:outlineLvl w:val="5"/>
    </w:pPr>
    <w:rPr>
      <w:b/>
      <w:bCs/>
      <w:sz w:val="22"/>
      <w:szCs w:val="22"/>
    </w:rPr>
  </w:style>
  <w:style w:type="paragraph" w:styleId="Heading7">
    <w:name w:val="heading 7"/>
    <w:basedOn w:val="Normal"/>
    <w:next w:val="Normal"/>
    <w:link w:val="Heading7Char"/>
    <w:qFormat/>
    <w:rsid w:val="00491E54"/>
    <w:pPr>
      <w:tabs>
        <w:tab w:val="right" w:pos="5897"/>
      </w:tabs>
      <w:spacing w:before="240" w:after="60" w:line="240" w:lineRule="atLeast"/>
      <w:outlineLvl w:val="6"/>
    </w:pPr>
    <w:rPr>
      <w:szCs w:val="24"/>
    </w:rPr>
  </w:style>
  <w:style w:type="paragraph" w:styleId="Heading8">
    <w:name w:val="heading 8"/>
    <w:basedOn w:val="Normal"/>
    <w:next w:val="Normal"/>
    <w:link w:val="Heading8Char"/>
    <w:qFormat/>
    <w:rsid w:val="00491E54"/>
    <w:pPr>
      <w:tabs>
        <w:tab w:val="right" w:pos="5897"/>
      </w:tabs>
      <w:spacing w:before="240" w:after="60" w:line="240" w:lineRule="atLeast"/>
      <w:outlineLvl w:val="7"/>
    </w:pPr>
    <w:rPr>
      <w:i/>
      <w:iCs/>
      <w:szCs w:val="24"/>
    </w:rPr>
  </w:style>
  <w:style w:type="paragraph" w:styleId="Heading9">
    <w:name w:val="heading 9"/>
    <w:basedOn w:val="Normal"/>
    <w:next w:val="Normal"/>
    <w:link w:val="Heading9Char"/>
    <w:qFormat/>
    <w:rsid w:val="00491E54"/>
    <w:pPr>
      <w:tabs>
        <w:tab w:val="right" w:pos="5897"/>
      </w:tabs>
      <w:spacing w:before="240" w:after="60" w:line="240" w:lineRule="atLeas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BodyText"/>
    <w:uiPriority w:val="99"/>
    <w:rsid w:val="008D2F7B"/>
    <w:pPr>
      <w:numPr>
        <w:numId w:val="4"/>
      </w:numPr>
      <w:ind w:left="567" w:hanging="567"/>
    </w:pPr>
    <w:rPr>
      <w:b/>
    </w:rPr>
  </w:style>
  <w:style w:type="paragraph" w:customStyle="1" w:styleId="NumberList">
    <w:name w:val="Number List"/>
    <w:basedOn w:val="Normal"/>
    <w:rsid w:val="00566224"/>
    <w:pPr>
      <w:pageBreakBefore/>
      <w:spacing w:before="240" w:after="240"/>
      <w:ind w:left="1080" w:hanging="360"/>
      <w:outlineLvl w:val="0"/>
    </w:pPr>
    <w:rPr>
      <w:rFonts w:ascii="Sansa Lloyds" w:hAnsi="Sansa Lloyds"/>
      <w:b/>
      <w:kern w:val="28"/>
      <w:sz w:val="32"/>
    </w:rPr>
  </w:style>
  <w:style w:type="paragraph" w:styleId="BodyText">
    <w:name w:val="Body Text"/>
    <w:basedOn w:val="Normal"/>
    <w:link w:val="BodyTextChar"/>
    <w:unhideWhenUsed/>
    <w:rsid w:val="006A4F27"/>
    <w:pPr>
      <w:spacing w:after="60" w:line="240" w:lineRule="exact"/>
    </w:pPr>
    <w:rPr>
      <w:rFonts w:ascii="Arial" w:hAnsi="Arial"/>
      <w:sz w:val="18"/>
    </w:rPr>
  </w:style>
  <w:style w:type="character" w:customStyle="1" w:styleId="BodyTextChar">
    <w:name w:val="Body Text Char"/>
    <w:basedOn w:val="DefaultParagraphFont"/>
    <w:link w:val="BodyText"/>
    <w:rsid w:val="006A4F27"/>
    <w:rPr>
      <w:rFonts w:ascii="Arial" w:hAnsi="Arial"/>
      <w:sz w:val="18"/>
    </w:rPr>
  </w:style>
  <w:style w:type="paragraph" w:customStyle="1" w:styleId="Sub-sectiontitle">
    <w:name w:val="Sub-section title"/>
    <w:basedOn w:val="BodyText"/>
    <w:qFormat/>
    <w:rsid w:val="007A0E6B"/>
    <w:pPr>
      <w:spacing w:before="240"/>
    </w:pPr>
    <w:rPr>
      <w:rFonts w:ascii="Sansa Lloyds" w:hAnsi="Sansa Lloyds"/>
      <w:color w:val="1E35BF"/>
      <w:sz w:val="28"/>
    </w:rPr>
  </w:style>
  <w:style w:type="paragraph" w:styleId="ListNumber">
    <w:name w:val="List Number"/>
    <w:basedOn w:val="BodyText"/>
    <w:uiPriority w:val="99"/>
    <w:unhideWhenUsed/>
    <w:rsid w:val="004117E1"/>
    <w:pPr>
      <w:numPr>
        <w:numId w:val="7"/>
      </w:numPr>
      <w:spacing w:before="120" w:line="280" w:lineRule="exact"/>
      <w:contextualSpacing/>
    </w:pPr>
  </w:style>
  <w:style w:type="paragraph" w:customStyle="1" w:styleId="Tabletext">
    <w:name w:val="Table text"/>
    <w:basedOn w:val="Normal"/>
    <w:rsid w:val="00F7716E"/>
    <w:pPr>
      <w:tabs>
        <w:tab w:val="right" w:pos="8222"/>
      </w:tabs>
      <w:spacing w:line="240" w:lineRule="exact"/>
    </w:pPr>
    <w:rPr>
      <w:rFonts w:ascii="Arial" w:hAnsi="Arial"/>
      <w:sz w:val="18"/>
      <w:szCs w:val="16"/>
    </w:rPr>
  </w:style>
  <w:style w:type="paragraph" w:customStyle="1" w:styleId="Tableheaders">
    <w:name w:val="Table headers"/>
    <w:basedOn w:val="BodyText"/>
    <w:rsid w:val="00F7716E"/>
    <w:pPr>
      <w:tabs>
        <w:tab w:val="right" w:pos="8222"/>
      </w:tabs>
      <w:spacing w:line="200" w:lineRule="exact"/>
      <w:jc w:val="center"/>
    </w:pPr>
    <w:rPr>
      <w:b/>
      <w:sz w:val="16"/>
      <w:szCs w:val="12"/>
    </w:rPr>
  </w:style>
  <w:style w:type="paragraph" w:customStyle="1" w:styleId="Sub-sectiontitle2">
    <w:name w:val="Sub-section title 2"/>
    <w:basedOn w:val="Sub-sectiontitle"/>
    <w:next w:val="BodyText"/>
    <w:qFormat/>
    <w:rsid w:val="00883B04"/>
    <w:rPr>
      <w:color w:val="auto"/>
      <w:sz w:val="20"/>
    </w:rPr>
  </w:style>
  <w:style w:type="character" w:styleId="Hyperlink">
    <w:name w:val="Hyperlink"/>
    <w:basedOn w:val="DefaultParagraphFont"/>
    <w:uiPriority w:val="99"/>
    <w:unhideWhenUsed/>
    <w:rsid w:val="00283E52"/>
    <w:rPr>
      <w:color w:val="0000FF" w:themeColor="hyperlink"/>
      <w:u w:val="single"/>
    </w:rPr>
  </w:style>
  <w:style w:type="paragraph" w:styleId="ListBullet2">
    <w:name w:val="List Bullet 2"/>
    <w:basedOn w:val="ListBullet"/>
    <w:uiPriority w:val="99"/>
    <w:unhideWhenUsed/>
    <w:rsid w:val="008E086F"/>
    <w:pPr>
      <w:numPr>
        <w:numId w:val="5"/>
      </w:numPr>
      <w:spacing w:before="120" w:after="120" w:line="220" w:lineRule="exact"/>
      <w:ind w:left="567" w:hanging="567"/>
    </w:pPr>
    <w:rPr>
      <w:b w:val="0"/>
    </w:rPr>
  </w:style>
  <w:style w:type="paragraph" w:styleId="ListBullet3">
    <w:name w:val="List Bullet 3"/>
    <w:basedOn w:val="ListBullet2"/>
    <w:uiPriority w:val="99"/>
    <w:unhideWhenUsed/>
    <w:rsid w:val="008D2F7B"/>
    <w:pPr>
      <w:numPr>
        <w:numId w:val="6"/>
      </w:numPr>
      <w:ind w:left="1134" w:hanging="567"/>
    </w:pPr>
  </w:style>
  <w:style w:type="character" w:styleId="FootnoteReference">
    <w:name w:val="footnote reference"/>
    <w:basedOn w:val="DefaultParagraphFont"/>
    <w:uiPriority w:val="99"/>
    <w:unhideWhenUsed/>
    <w:rsid w:val="007F67B4"/>
    <w:rPr>
      <w:vertAlign w:val="superscript"/>
    </w:rPr>
  </w:style>
  <w:style w:type="paragraph" w:styleId="BalloonText">
    <w:name w:val="Balloon Text"/>
    <w:basedOn w:val="Normal"/>
    <w:link w:val="BalloonTextChar"/>
    <w:unhideWhenUsed/>
    <w:rsid w:val="00B37881"/>
    <w:rPr>
      <w:rFonts w:ascii="Tahoma" w:hAnsi="Tahoma" w:cs="Tahoma"/>
      <w:sz w:val="16"/>
      <w:szCs w:val="16"/>
    </w:rPr>
  </w:style>
  <w:style w:type="character" w:customStyle="1" w:styleId="BalloonTextChar">
    <w:name w:val="Balloon Text Char"/>
    <w:basedOn w:val="DefaultParagraphFont"/>
    <w:link w:val="BalloonText"/>
    <w:rsid w:val="00B37881"/>
    <w:rPr>
      <w:rFonts w:ascii="Tahoma" w:hAnsi="Tahoma" w:cs="Tahoma"/>
      <w:sz w:val="16"/>
      <w:szCs w:val="16"/>
    </w:rPr>
  </w:style>
  <w:style w:type="paragraph" w:styleId="Caption">
    <w:name w:val="caption"/>
    <w:basedOn w:val="BodyText"/>
    <w:next w:val="Normal"/>
    <w:unhideWhenUsed/>
    <w:qFormat/>
    <w:rsid w:val="00F7716E"/>
    <w:pPr>
      <w:spacing w:after="200"/>
    </w:pPr>
    <w:rPr>
      <w:bCs/>
      <w:sz w:val="14"/>
      <w:szCs w:val="18"/>
    </w:rPr>
  </w:style>
  <w:style w:type="paragraph" w:customStyle="1" w:styleId="Tabletext-small">
    <w:name w:val="Table text - small"/>
    <w:basedOn w:val="Tabletext"/>
    <w:qFormat/>
    <w:rsid w:val="00F7716E"/>
    <w:rPr>
      <w:sz w:val="16"/>
    </w:rPr>
  </w:style>
  <w:style w:type="numbering" w:customStyle="1" w:styleId="Headings">
    <w:name w:val="Headings"/>
    <w:uiPriority w:val="99"/>
    <w:rsid w:val="005C757A"/>
    <w:pPr>
      <w:numPr>
        <w:numId w:val="8"/>
      </w:numPr>
    </w:pPr>
  </w:style>
  <w:style w:type="character" w:customStyle="1" w:styleId="Heading4Char">
    <w:name w:val="Heading 4 Char"/>
    <w:basedOn w:val="DefaultParagraphFont"/>
    <w:link w:val="Heading4"/>
    <w:rsid w:val="00803F16"/>
    <w:rPr>
      <w:rFonts w:ascii="Arial" w:eastAsiaTheme="majorEastAsia" w:hAnsi="Arial" w:cstheme="majorBidi"/>
      <w:b/>
      <w:bCs/>
      <w:iCs/>
      <w:color w:val="808080" w:themeColor="background1" w:themeShade="80"/>
      <w:kern w:val="28"/>
      <w:sz w:val="18"/>
    </w:rPr>
  </w:style>
  <w:style w:type="paragraph" w:styleId="TOCHeading">
    <w:name w:val="TOC Heading"/>
    <w:basedOn w:val="Heading1"/>
    <w:next w:val="Normal"/>
    <w:uiPriority w:val="39"/>
    <w:unhideWhenUsed/>
    <w:qFormat/>
    <w:rsid w:val="004949B3"/>
    <w:pPr>
      <w:keepNext/>
      <w:keepLines/>
      <w:pageBreakBefore w:val="0"/>
      <w:numPr>
        <w:numId w:val="0"/>
      </w:numPr>
      <w:spacing w:before="480" w:after="0" w:line="276" w:lineRule="auto"/>
      <w:outlineLvl w:val="9"/>
    </w:pPr>
    <w:rPr>
      <w:rFonts w:asciiTheme="majorHAnsi" w:eastAsiaTheme="majorEastAsia" w:hAnsiTheme="majorHAnsi" w:cstheme="majorBidi"/>
      <w:b/>
      <w:bCs/>
      <w:color w:val="365F91" w:themeColor="accent1" w:themeShade="BF"/>
      <w:kern w:val="0"/>
      <w:sz w:val="28"/>
      <w:szCs w:val="28"/>
      <w:lang w:val="en-US" w:eastAsia="ja-JP"/>
    </w:rPr>
  </w:style>
  <w:style w:type="paragraph" w:styleId="TOC1">
    <w:name w:val="toc 1"/>
    <w:basedOn w:val="BodyText"/>
    <w:next w:val="BodyText"/>
    <w:autoRedefine/>
    <w:uiPriority w:val="39"/>
    <w:unhideWhenUsed/>
    <w:rsid w:val="00A46E26"/>
    <w:pPr>
      <w:tabs>
        <w:tab w:val="right" w:leader="dot" w:pos="8353"/>
      </w:tabs>
      <w:spacing w:before="240" w:after="120"/>
    </w:pPr>
    <w:rPr>
      <w:rFonts w:cstheme="minorHAnsi"/>
      <w:b/>
      <w:bCs/>
    </w:rPr>
  </w:style>
  <w:style w:type="paragraph" w:styleId="Footer">
    <w:name w:val="footer"/>
    <w:basedOn w:val="BodyText"/>
    <w:link w:val="FooterChar"/>
    <w:unhideWhenUsed/>
    <w:rsid w:val="001761BA"/>
    <w:pPr>
      <w:tabs>
        <w:tab w:val="center" w:pos="4513"/>
        <w:tab w:val="right" w:pos="9026"/>
      </w:tabs>
      <w:spacing w:after="0"/>
      <w:jc w:val="right"/>
    </w:pPr>
  </w:style>
  <w:style w:type="character" w:customStyle="1" w:styleId="FooterChar">
    <w:name w:val="Footer Char"/>
    <w:basedOn w:val="DefaultParagraphFont"/>
    <w:link w:val="Footer"/>
    <w:uiPriority w:val="99"/>
    <w:rsid w:val="001761BA"/>
    <w:rPr>
      <w:rFonts w:ascii="Arial" w:hAnsi="Arial"/>
      <w:sz w:val="18"/>
    </w:rPr>
  </w:style>
  <w:style w:type="character" w:styleId="FollowedHyperlink">
    <w:name w:val="FollowedHyperlink"/>
    <w:basedOn w:val="DefaultParagraphFont"/>
    <w:unhideWhenUsed/>
    <w:rsid w:val="00B930E6"/>
    <w:rPr>
      <w:color w:val="800080" w:themeColor="followedHyperlink"/>
      <w:u w:val="single"/>
    </w:rPr>
  </w:style>
  <w:style w:type="paragraph" w:customStyle="1" w:styleId="DividerTitle">
    <w:name w:val="Divider Title"/>
    <w:basedOn w:val="Normal"/>
    <w:rsid w:val="009B3D3D"/>
    <w:pPr>
      <w:pageBreakBefore/>
      <w:tabs>
        <w:tab w:val="right" w:pos="8222"/>
      </w:tabs>
      <w:spacing w:before="4000" w:after="120" w:line="1200" w:lineRule="exact"/>
    </w:pPr>
    <w:rPr>
      <w:rFonts w:ascii="Sansa Lloyds" w:hAnsi="Sansa Lloyds"/>
      <w:color w:val="1E35BF"/>
      <w:spacing w:val="-20"/>
      <w:sz w:val="120"/>
      <w:szCs w:val="120"/>
    </w:rPr>
  </w:style>
  <w:style w:type="paragraph" w:customStyle="1" w:styleId="Maintitle">
    <w:name w:val="Main title"/>
    <w:basedOn w:val="Sub-sectiontitle"/>
    <w:next w:val="BodyText"/>
    <w:qFormat/>
    <w:rsid w:val="007A0E6B"/>
    <w:pPr>
      <w:spacing w:line="720" w:lineRule="exact"/>
    </w:pPr>
    <w:rPr>
      <w:sz w:val="72"/>
    </w:rPr>
  </w:style>
  <w:style w:type="paragraph" w:customStyle="1" w:styleId="Maintitle-subtitle">
    <w:name w:val="Main title - subtitle"/>
    <w:basedOn w:val="Sub-sectiontitle"/>
    <w:next w:val="BodyText"/>
    <w:qFormat/>
    <w:rsid w:val="00C77C72"/>
    <w:rPr>
      <w:color w:val="auto"/>
      <w:sz w:val="40"/>
    </w:rPr>
  </w:style>
  <w:style w:type="paragraph" w:styleId="Title">
    <w:name w:val="Title"/>
    <w:basedOn w:val="Normal"/>
    <w:next w:val="Normal"/>
    <w:link w:val="TitleChar"/>
    <w:uiPriority w:val="10"/>
    <w:rsid w:val="00C77C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7C72"/>
    <w:rPr>
      <w:rFonts w:asciiTheme="majorHAnsi" w:eastAsiaTheme="majorEastAsia" w:hAnsiTheme="majorHAnsi" w:cstheme="majorBidi"/>
      <w:color w:val="17365D" w:themeColor="text2" w:themeShade="BF"/>
      <w:spacing w:val="5"/>
      <w:kern w:val="28"/>
      <w:sz w:val="52"/>
      <w:szCs w:val="52"/>
    </w:rPr>
  </w:style>
  <w:style w:type="paragraph" w:customStyle="1" w:styleId="Maintitle-subtitle2">
    <w:name w:val="Main title - subtitle 2"/>
    <w:basedOn w:val="Maintitle-subtitle"/>
    <w:next w:val="BodyText"/>
    <w:qFormat/>
    <w:rsid w:val="00262EF2"/>
    <w:pPr>
      <w:spacing w:before="0" w:line="320" w:lineRule="exact"/>
    </w:pPr>
    <w:rPr>
      <w:rFonts w:ascii="Arial" w:hAnsi="Arial"/>
      <w:sz w:val="28"/>
    </w:rPr>
  </w:style>
  <w:style w:type="paragraph" w:styleId="Header">
    <w:name w:val="header"/>
    <w:basedOn w:val="Normal"/>
    <w:link w:val="HeaderChar"/>
    <w:uiPriority w:val="99"/>
    <w:unhideWhenUsed/>
    <w:rsid w:val="00436A20"/>
    <w:pPr>
      <w:tabs>
        <w:tab w:val="center" w:pos="4513"/>
        <w:tab w:val="right" w:pos="9026"/>
      </w:tabs>
    </w:pPr>
  </w:style>
  <w:style w:type="character" w:customStyle="1" w:styleId="HeaderChar">
    <w:name w:val="Header Char"/>
    <w:basedOn w:val="DefaultParagraphFont"/>
    <w:link w:val="Header"/>
    <w:uiPriority w:val="99"/>
    <w:rsid w:val="00436A20"/>
    <w:rPr>
      <w:sz w:val="24"/>
    </w:rPr>
  </w:style>
  <w:style w:type="character" w:styleId="CommentReference">
    <w:name w:val="annotation reference"/>
    <w:basedOn w:val="DefaultParagraphFont"/>
    <w:uiPriority w:val="99"/>
    <w:semiHidden/>
    <w:unhideWhenUsed/>
    <w:rsid w:val="003A6349"/>
    <w:rPr>
      <w:sz w:val="16"/>
      <w:szCs w:val="16"/>
    </w:rPr>
  </w:style>
  <w:style w:type="paragraph" w:styleId="CommentText">
    <w:name w:val="annotation text"/>
    <w:basedOn w:val="Normal"/>
    <w:link w:val="CommentTextChar"/>
    <w:uiPriority w:val="99"/>
    <w:unhideWhenUsed/>
    <w:rsid w:val="003A6349"/>
    <w:rPr>
      <w:sz w:val="20"/>
    </w:rPr>
  </w:style>
  <w:style w:type="character" w:customStyle="1" w:styleId="CommentTextChar">
    <w:name w:val="Comment Text Char"/>
    <w:basedOn w:val="DefaultParagraphFont"/>
    <w:link w:val="CommentText"/>
    <w:uiPriority w:val="99"/>
    <w:rsid w:val="003A6349"/>
  </w:style>
  <w:style w:type="paragraph" w:styleId="CommentSubject">
    <w:name w:val="annotation subject"/>
    <w:basedOn w:val="CommentText"/>
    <w:next w:val="CommentText"/>
    <w:link w:val="CommentSubjectChar"/>
    <w:semiHidden/>
    <w:unhideWhenUsed/>
    <w:rsid w:val="003A6349"/>
    <w:rPr>
      <w:b/>
      <w:bCs/>
    </w:rPr>
  </w:style>
  <w:style w:type="character" w:customStyle="1" w:styleId="CommentSubjectChar">
    <w:name w:val="Comment Subject Char"/>
    <w:basedOn w:val="CommentTextChar"/>
    <w:link w:val="CommentSubject"/>
    <w:semiHidden/>
    <w:rsid w:val="003A6349"/>
    <w:rPr>
      <w:b/>
      <w:bCs/>
    </w:rPr>
  </w:style>
  <w:style w:type="paragraph" w:styleId="FootnoteText">
    <w:name w:val="footnote text"/>
    <w:basedOn w:val="Normal"/>
    <w:link w:val="FootnoteTextChar"/>
    <w:semiHidden/>
    <w:unhideWhenUsed/>
    <w:rsid w:val="00A53D01"/>
    <w:rPr>
      <w:sz w:val="20"/>
    </w:rPr>
  </w:style>
  <w:style w:type="character" w:customStyle="1" w:styleId="FootnoteTextChar">
    <w:name w:val="Footnote Text Char"/>
    <w:basedOn w:val="DefaultParagraphFont"/>
    <w:link w:val="FootnoteText"/>
    <w:uiPriority w:val="99"/>
    <w:semiHidden/>
    <w:rsid w:val="00A53D01"/>
  </w:style>
  <w:style w:type="paragraph" w:customStyle="1" w:styleId="MainTitleRDLstyle">
    <w:name w:val="Main Title RDL style"/>
    <w:basedOn w:val="Maintitle-subtitle"/>
    <w:qFormat/>
    <w:rsid w:val="00FF2B38"/>
    <w:pPr>
      <w:spacing w:after="240"/>
    </w:pPr>
    <w:rPr>
      <w:color w:val="F79646" w:themeColor="accent6"/>
    </w:rPr>
  </w:style>
  <w:style w:type="numbering" w:customStyle="1" w:styleId="Bulleted">
    <w:name w:val="Bulleted"/>
    <w:semiHidden/>
    <w:rsid w:val="000126E1"/>
    <w:pPr>
      <w:numPr>
        <w:numId w:val="10"/>
      </w:numPr>
    </w:pPr>
  </w:style>
  <w:style w:type="paragraph" w:customStyle="1" w:styleId="Bullets">
    <w:name w:val="Bullets"/>
    <w:basedOn w:val="Normal"/>
    <w:rsid w:val="000126E1"/>
    <w:pPr>
      <w:numPr>
        <w:numId w:val="11"/>
      </w:numPr>
      <w:spacing w:before="120" w:after="120" w:line="240" w:lineRule="atLeast"/>
    </w:pPr>
    <w:rPr>
      <w:rFonts w:ascii="Arial" w:hAnsi="Arial"/>
      <w:sz w:val="18"/>
      <w:szCs w:val="24"/>
      <w:lang w:eastAsia="en-US"/>
    </w:rPr>
  </w:style>
  <w:style w:type="paragraph" w:styleId="ListParagraph">
    <w:name w:val="List Paragraph"/>
    <w:basedOn w:val="Normal"/>
    <w:uiPriority w:val="99"/>
    <w:qFormat/>
    <w:rsid w:val="00BE14CF"/>
    <w:pPr>
      <w:ind w:left="720"/>
    </w:pPr>
    <w:rPr>
      <w:rFonts w:ascii="Calibri" w:hAnsi="Calibri"/>
      <w:sz w:val="22"/>
      <w:szCs w:val="22"/>
      <w:lang w:eastAsia="en-US"/>
    </w:rPr>
  </w:style>
  <w:style w:type="paragraph" w:customStyle="1" w:styleId="Narrative">
    <w:name w:val="Narrative"/>
    <w:basedOn w:val="BodyText"/>
    <w:qFormat/>
    <w:rsid w:val="000114B4"/>
    <w:rPr>
      <w:i/>
      <w:color w:val="1F497D" w:themeColor="text2"/>
    </w:rPr>
  </w:style>
  <w:style w:type="character" w:customStyle="1" w:styleId="fontstyle01">
    <w:name w:val="fontstyle01"/>
    <w:basedOn w:val="DefaultParagraphFont"/>
    <w:rsid w:val="005F21C1"/>
    <w:rPr>
      <w:rFonts w:ascii="Arial" w:hAnsi="Arial" w:cs="Arial" w:hint="default"/>
      <w:b w:val="0"/>
      <w:bCs w:val="0"/>
      <w:i/>
      <w:iCs/>
      <w:color w:val="000000"/>
      <w:sz w:val="18"/>
      <w:szCs w:val="18"/>
    </w:rPr>
  </w:style>
  <w:style w:type="table" w:styleId="TableGrid">
    <w:name w:val="Table Grid"/>
    <w:basedOn w:val="TableNormal"/>
    <w:rsid w:val="007A0E6B"/>
    <w:pPr>
      <w:spacing w:line="220" w:lineRule="exact"/>
    </w:pPr>
    <w:rPr>
      <w:rFonts w:ascii="Arial" w:hAnsi="Arial"/>
      <w:sz w:val="18"/>
      <w:szCs w:val="18"/>
    </w:rPr>
    <w:tblPr>
      <w:tblBorders>
        <w:bottom w:val="single" w:sz="2" w:space="0" w:color="auto"/>
        <w:insideH w:val="single" w:sz="2" w:space="0" w:color="auto"/>
      </w:tblBorders>
      <w:tblCellMar>
        <w:top w:w="113" w:type="dxa"/>
        <w:left w:w="0" w:type="dxa"/>
        <w:bottom w:w="57" w:type="dxa"/>
        <w:right w:w="0" w:type="dxa"/>
      </w:tblCellMar>
    </w:tblPr>
    <w:tcPr>
      <w:vAlign w:val="bottom"/>
    </w:tcPr>
  </w:style>
  <w:style w:type="paragraph" w:customStyle="1" w:styleId="ReportTitle">
    <w:name w:val="Report Title"/>
    <w:basedOn w:val="Normal"/>
    <w:rsid w:val="007A0E6B"/>
    <w:pPr>
      <w:tabs>
        <w:tab w:val="right" w:pos="9582"/>
      </w:tabs>
      <w:spacing w:line="1360" w:lineRule="exact"/>
    </w:pPr>
    <w:rPr>
      <w:rFonts w:asciiTheme="majorHAnsi" w:hAnsiTheme="majorHAnsi"/>
      <w:color w:val="4F81BD" w:themeColor="accent1"/>
      <w:spacing w:val="-20"/>
      <w:sz w:val="144"/>
      <w:szCs w:val="144"/>
    </w:rPr>
  </w:style>
  <w:style w:type="paragraph" w:customStyle="1" w:styleId="ReportDescription">
    <w:name w:val="Report Description"/>
    <w:basedOn w:val="Normal"/>
    <w:rsid w:val="007A0E6B"/>
    <w:pPr>
      <w:tabs>
        <w:tab w:val="right" w:pos="9582"/>
      </w:tabs>
      <w:spacing w:line="280" w:lineRule="exact"/>
    </w:pPr>
    <w:rPr>
      <w:rFonts w:asciiTheme="majorHAnsi" w:hAnsiTheme="majorHAnsi"/>
      <w:sz w:val="28"/>
      <w:szCs w:val="28"/>
    </w:rPr>
  </w:style>
  <w:style w:type="paragraph" w:customStyle="1" w:styleId="StyleListNumberBold">
    <w:name w:val="Style List Number + Bold"/>
    <w:basedOn w:val="ListNumber"/>
    <w:rsid w:val="001B7AE0"/>
    <w:pPr>
      <w:numPr>
        <w:numId w:val="12"/>
      </w:numPr>
    </w:pPr>
    <w:rPr>
      <w:b/>
      <w:bCs/>
    </w:rPr>
  </w:style>
  <w:style w:type="character" w:customStyle="1" w:styleId="fontstyle21">
    <w:name w:val="fontstyle21"/>
    <w:basedOn w:val="DefaultParagraphFont"/>
    <w:rsid w:val="00BC681D"/>
    <w:rPr>
      <w:rFonts w:ascii="Symbol" w:hAnsi="Symbol" w:hint="default"/>
      <w:b w:val="0"/>
      <w:bCs w:val="0"/>
      <w:i w:val="0"/>
      <w:iCs w:val="0"/>
      <w:color w:val="000000"/>
      <w:sz w:val="18"/>
      <w:szCs w:val="18"/>
    </w:rPr>
  </w:style>
  <w:style w:type="character" w:customStyle="1" w:styleId="fontstyle31">
    <w:name w:val="fontstyle31"/>
    <w:basedOn w:val="DefaultParagraphFont"/>
    <w:rsid w:val="004B16A8"/>
    <w:rPr>
      <w:rFonts w:ascii="Arial" w:hAnsi="Arial" w:cs="Arial" w:hint="default"/>
      <w:b w:val="0"/>
      <w:bCs w:val="0"/>
      <w:i/>
      <w:iCs/>
      <w:color w:val="000000"/>
      <w:sz w:val="18"/>
      <w:szCs w:val="18"/>
    </w:rPr>
  </w:style>
  <w:style w:type="character" w:styleId="UnresolvedMention">
    <w:name w:val="Unresolved Mention"/>
    <w:basedOn w:val="DefaultParagraphFont"/>
    <w:uiPriority w:val="99"/>
    <w:semiHidden/>
    <w:unhideWhenUsed/>
    <w:rsid w:val="00DB3CA8"/>
    <w:rPr>
      <w:color w:val="605E5C"/>
      <w:shd w:val="clear" w:color="auto" w:fill="E1DFDD"/>
    </w:rPr>
  </w:style>
  <w:style w:type="paragraph" w:styleId="TOC2">
    <w:name w:val="toc 2"/>
    <w:basedOn w:val="Normal"/>
    <w:next w:val="Normal"/>
    <w:autoRedefine/>
    <w:uiPriority w:val="39"/>
    <w:unhideWhenUsed/>
    <w:rsid w:val="002027D4"/>
    <w:pPr>
      <w:spacing w:after="100"/>
      <w:ind w:left="240"/>
    </w:pPr>
  </w:style>
  <w:style w:type="paragraph" w:styleId="TOC3">
    <w:name w:val="toc 3"/>
    <w:basedOn w:val="Normal"/>
    <w:next w:val="Normal"/>
    <w:autoRedefine/>
    <w:uiPriority w:val="39"/>
    <w:unhideWhenUsed/>
    <w:rsid w:val="00BB36C7"/>
    <w:pPr>
      <w:tabs>
        <w:tab w:val="right" w:leader="dot" w:pos="9214"/>
      </w:tabs>
      <w:spacing w:after="100"/>
      <w:ind w:left="480"/>
    </w:pPr>
  </w:style>
  <w:style w:type="paragraph" w:styleId="TOC4">
    <w:name w:val="toc 4"/>
    <w:basedOn w:val="Normal"/>
    <w:next w:val="Normal"/>
    <w:autoRedefine/>
    <w:unhideWhenUsed/>
    <w:rsid w:val="002027D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nhideWhenUsed/>
    <w:rsid w:val="002027D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nhideWhenUsed/>
    <w:rsid w:val="002027D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nhideWhenUsed/>
    <w:rsid w:val="002027D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nhideWhenUsed/>
    <w:rsid w:val="002027D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nhideWhenUsed/>
    <w:rsid w:val="002027D4"/>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577608"/>
    <w:rPr>
      <w:sz w:val="24"/>
    </w:rPr>
  </w:style>
  <w:style w:type="paragraph" w:customStyle="1" w:styleId="paragraph">
    <w:name w:val="paragraph"/>
    <w:basedOn w:val="Normal"/>
    <w:rsid w:val="007B1A95"/>
    <w:pPr>
      <w:spacing w:before="100" w:beforeAutospacing="1" w:after="100" w:afterAutospacing="1"/>
    </w:pPr>
    <w:rPr>
      <w:szCs w:val="24"/>
    </w:rPr>
  </w:style>
  <w:style w:type="character" w:customStyle="1" w:styleId="normaltextrun">
    <w:name w:val="normaltextrun"/>
    <w:basedOn w:val="DefaultParagraphFont"/>
    <w:rsid w:val="007B1A95"/>
  </w:style>
  <w:style w:type="character" w:customStyle="1" w:styleId="eop">
    <w:name w:val="eop"/>
    <w:basedOn w:val="DefaultParagraphFont"/>
    <w:rsid w:val="007B1A95"/>
  </w:style>
  <w:style w:type="character" w:customStyle="1" w:styleId="superscript">
    <w:name w:val="superscript"/>
    <w:basedOn w:val="DefaultParagraphFont"/>
    <w:rsid w:val="001B1747"/>
  </w:style>
  <w:style w:type="character" w:styleId="Mention">
    <w:name w:val="Mention"/>
    <w:basedOn w:val="DefaultParagraphFont"/>
    <w:uiPriority w:val="99"/>
    <w:unhideWhenUsed/>
    <w:rsid w:val="009F74C5"/>
    <w:rPr>
      <w:color w:val="2B579A"/>
      <w:shd w:val="clear" w:color="auto" w:fill="E1DFDD"/>
    </w:rPr>
  </w:style>
  <w:style w:type="table" w:customStyle="1" w:styleId="LloydsTableStyle1">
    <w:name w:val="Lloyds Table Style 1"/>
    <w:basedOn w:val="TableNormal"/>
    <w:uiPriority w:val="99"/>
    <w:rsid w:val="00E9141D"/>
    <w:pPr>
      <w:spacing w:before="60" w:after="60" w:line="240" w:lineRule="atLeast"/>
    </w:pPr>
    <w:rPr>
      <w:rFonts w:ascii="Arial" w:eastAsia="Arial" w:hAnsi="Arial" w:cs="Arial"/>
      <w:lang w:eastAsia="en-US"/>
    </w:rPr>
    <w:tblPr>
      <w:tblStyleRowBandSize w:val="1"/>
      <w:tblBorders>
        <w:top w:val="single" w:sz="4" w:space="0" w:color="646569"/>
        <w:bottom w:val="single" w:sz="4" w:space="0" w:color="646569"/>
        <w:insideH w:val="single" w:sz="4" w:space="0" w:color="646569"/>
      </w:tblBorders>
    </w:tblPr>
    <w:tblStylePr w:type="firstRow">
      <w:rPr>
        <w:b/>
      </w:rPr>
      <w:tblPr/>
      <w:tcPr>
        <w:tcBorders>
          <w:top w:val="single" w:sz="4" w:space="0" w:color="646569"/>
          <w:left w:val="nil"/>
          <w:bottom w:val="single" w:sz="4" w:space="0" w:color="646569"/>
          <w:right w:val="nil"/>
          <w:insideH w:val="nil"/>
          <w:insideV w:val="nil"/>
          <w:tl2br w:val="nil"/>
          <w:tr2bl w:val="nil"/>
        </w:tcBorders>
      </w:tcPr>
    </w:tblStylePr>
    <w:tblStylePr w:type="lastRow">
      <w:rPr>
        <w:b/>
      </w:rPr>
      <w:tblPr/>
      <w:tcPr>
        <w:tcBorders>
          <w:top w:val="single" w:sz="4" w:space="0" w:color="646569"/>
          <w:left w:val="nil"/>
          <w:bottom w:val="single" w:sz="4" w:space="0" w:color="646569"/>
          <w:right w:val="nil"/>
          <w:insideH w:val="nil"/>
          <w:insideV w:val="nil"/>
          <w:tl2br w:val="nil"/>
          <w:tr2bl w:val="nil"/>
        </w:tcBorders>
      </w:tcPr>
    </w:tblStylePr>
  </w:style>
  <w:style w:type="table" w:customStyle="1" w:styleId="LloydsTableStyle11">
    <w:name w:val="Lloyds Table Style 11"/>
    <w:basedOn w:val="TableNormal"/>
    <w:uiPriority w:val="99"/>
    <w:rsid w:val="009D5F1C"/>
    <w:pPr>
      <w:spacing w:before="60" w:after="60" w:line="240" w:lineRule="atLeast"/>
    </w:pPr>
    <w:rPr>
      <w:rFonts w:ascii="Arial" w:eastAsia="Arial" w:hAnsi="Arial" w:cs="Arial"/>
      <w:lang w:eastAsia="en-US"/>
    </w:rPr>
    <w:tblPr>
      <w:tblStyleRowBandSize w:val="1"/>
      <w:tblBorders>
        <w:top w:val="single" w:sz="4" w:space="0" w:color="646569"/>
        <w:bottom w:val="single" w:sz="4" w:space="0" w:color="646569"/>
        <w:insideH w:val="single" w:sz="4" w:space="0" w:color="646569"/>
      </w:tblBorders>
    </w:tblPr>
    <w:tblStylePr w:type="firstRow">
      <w:rPr>
        <w:b/>
      </w:rPr>
      <w:tblPr/>
      <w:tcPr>
        <w:tcBorders>
          <w:top w:val="single" w:sz="4" w:space="0" w:color="646569"/>
          <w:left w:val="nil"/>
          <w:bottom w:val="single" w:sz="4" w:space="0" w:color="646569"/>
          <w:right w:val="nil"/>
          <w:insideH w:val="nil"/>
          <w:insideV w:val="nil"/>
          <w:tl2br w:val="nil"/>
          <w:tr2bl w:val="nil"/>
        </w:tcBorders>
      </w:tcPr>
    </w:tblStylePr>
    <w:tblStylePr w:type="lastRow">
      <w:rPr>
        <w:b/>
      </w:rPr>
      <w:tblPr/>
      <w:tcPr>
        <w:tcBorders>
          <w:top w:val="single" w:sz="4" w:space="0" w:color="646569"/>
          <w:left w:val="nil"/>
          <w:bottom w:val="single" w:sz="4" w:space="0" w:color="646569"/>
          <w:right w:val="nil"/>
          <w:insideH w:val="nil"/>
          <w:insideV w:val="nil"/>
          <w:tl2br w:val="nil"/>
          <w:tr2bl w:val="nil"/>
        </w:tcBorders>
      </w:tcPr>
    </w:tblStylePr>
  </w:style>
  <w:style w:type="paragraph" w:styleId="BodyTextIndent3">
    <w:name w:val="Body Text Indent 3"/>
    <w:basedOn w:val="Normal"/>
    <w:link w:val="BodyTextIndent3Char"/>
    <w:unhideWhenUsed/>
    <w:rsid w:val="00491E54"/>
    <w:pPr>
      <w:spacing w:after="120"/>
      <w:ind w:left="283"/>
    </w:pPr>
    <w:rPr>
      <w:sz w:val="16"/>
      <w:szCs w:val="16"/>
    </w:rPr>
  </w:style>
  <w:style w:type="character" w:customStyle="1" w:styleId="BodyTextIndent3Char">
    <w:name w:val="Body Text Indent 3 Char"/>
    <w:basedOn w:val="DefaultParagraphFont"/>
    <w:link w:val="BodyTextIndent3"/>
    <w:rsid w:val="00491E54"/>
    <w:rPr>
      <w:sz w:val="16"/>
      <w:szCs w:val="16"/>
    </w:rPr>
  </w:style>
  <w:style w:type="character" w:customStyle="1" w:styleId="Heading5Char">
    <w:name w:val="Heading 5 Char"/>
    <w:basedOn w:val="DefaultParagraphFont"/>
    <w:link w:val="Heading5"/>
    <w:rsid w:val="00491E54"/>
    <w:rPr>
      <w:rFonts w:ascii="Arial" w:hAnsi="Arial" w:cs="Arial"/>
      <w:b/>
      <w:bCs/>
      <w:sz w:val="18"/>
      <w:szCs w:val="18"/>
    </w:rPr>
  </w:style>
  <w:style w:type="character" w:customStyle="1" w:styleId="Heading6Char">
    <w:name w:val="Heading 6 Char"/>
    <w:basedOn w:val="DefaultParagraphFont"/>
    <w:link w:val="Heading6"/>
    <w:rsid w:val="00491E54"/>
    <w:rPr>
      <w:b/>
      <w:bCs/>
      <w:sz w:val="22"/>
      <w:szCs w:val="22"/>
    </w:rPr>
  </w:style>
  <w:style w:type="character" w:customStyle="1" w:styleId="Heading7Char">
    <w:name w:val="Heading 7 Char"/>
    <w:basedOn w:val="DefaultParagraphFont"/>
    <w:link w:val="Heading7"/>
    <w:rsid w:val="00491E54"/>
    <w:rPr>
      <w:sz w:val="24"/>
      <w:szCs w:val="24"/>
    </w:rPr>
  </w:style>
  <w:style w:type="character" w:customStyle="1" w:styleId="Heading8Char">
    <w:name w:val="Heading 8 Char"/>
    <w:basedOn w:val="DefaultParagraphFont"/>
    <w:link w:val="Heading8"/>
    <w:rsid w:val="00491E54"/>
    <w:rPr>
      <w:i/>
      <w:iCs/>
      <w:sz w:val="24"/>
      <w:szCs w:val="24"/>
    </w:rPr>
  </w:style>
  <w:style w:type="character" w:customStyle="1" w:styleId="Heading9Char">
    <w:name w:val="Heading 9 Char"/>
    <w:basedOn w:val="DefaultParagraphFont"/>
    <w:link w:val="Heading9"/>
    <w:rsid w:val="00491E54"/>
    <w:rPr>
      <w:rFonts w:ascii="Arial" w:hAnsi="Arial" w:cs="Arial"/>
      <w:sz w:val="22"/>
      <w:szCs w:val="22"/>
    </w:rPr>
  </w:style>
  <w:style w:type="numbering" w:customStyle="1" w:styleId="NoList1">
    <w:name w:val="No List1"/>
    <w:next w:val="NoList"/>
    <w:uiPriority w:val="99"/>
    <w:semiHidden/>
    <w:unhideWhenUsed/>
    <w:rsid w:val="00491E54"/>
  </w:style>
  <w:style w:type="paragraph" w:customStyle="1" w:styleId="Sub-Bullets">
    <w:name w:val="Sub-Bullets"/>
    <w:basedOn w:val="Normal"/>
    <w:rsid w:val="00491E54"/>
    <w:pPr>
      <w:numPr>
        <w:numId w:val="14"/>
      </w:numPr>
      <w:tabs>
        <w:tab w:val="clear" w:pos="357"/>
        <w:tab w:val="num" w:pos="360"/>
        <w:tab w:val="left" w:pos="714"/>
        <w:tab w:val="left" w:pos="1072"/>
        <w:tab w:val="left" w:pos="1429"/>
        <w:tab w:val="right" w:pos="9582"/>
      </w:tabs>
      <w:spacing w:line="240" w:lineRule="atLeast"/>
      <w:ind w:left="0" w:firstLine="0"/>
    </w:pPr>
    <w:rPr>
      <w:rFonts w:ascii="Arial" w:hAnsi="Arial"/>
      <w:sz w:val="18"/>
    </w:rPr>
  </w:style>
  <w:style w:type="paragraph" w:customStyle="1" w:styleId="LetterList">
    <w:name w:val="Letter List"/>
    <w:basedOn w:val="Normal"/>
    <w:rsid w:val="00491E54"/>
    <w:pPr>
      <w:numPr>
        <w:numId w:val="13"/>
      </w:numPr>
      <w:tabs>
        <w:tab w:val="right" w:pos="5897"/>
      </w:tabs>
      <w:spacing w:line="240" w:lineRule="atLeast"/>
    </w:pPr>
    <w:rPr>
      <w:rFonts w:ascii="Arial" w:hAnsi="Arial"/>
      <w:sz w:val="18"/>
    </w:rPr>
  </w:style>
  <w:style w:type="paragraph" w:customStyle="1" w:styleId="Callout">
    <w:name w:val="Callout"/>
    <w:basedOn w:val="Normal"/>
    <w:rsid w:val="00491E54"/>
    <w:pPr>
      <w:tabs>
        <w:tab w:val="right" w:pos="5897"/>
      </w:tabs>
      <w:spacing w:line="240" w:lineRule="exact"/>
    </w:pPr>
    <w:rPr>
      <w:rFonts w:ascii="Arial" w:hAnsi="Arial"/>
      <w:color w:val="1E35BF"/>
      <w:spacing w:val="-2"/>
      <w:szCs w:val="24"/>
    </w:rPr>
  </w:style>
  <w:style w:type="paragraph" w:styleId="DocumentMap">
    <w:name w:val="Document Map"/>
    <w:basedOn w:val="Normal"/>
    <w:link w:val="DocumentMapChar"/>
    <w:semiHidden/>
    <w:rsid w:val="00491E54"/>
    <w:pPr>
      <w:shd w:val="clear" w:color="auto" w:fill="000080"/>
      <w:tabs>
        <w:tab w:val="right" w:pos="5897"/>
      </w:tabs>
      <w:spacing w:after="120" w:line="240" w:lineRule="atLeast"/>
    </w:pPr>
    <w:rPr>
      <w:rFonts w:ascii="Tahoma" w:hAnsi="Tahoma" w:cs="Tahoma"/>
      <w:sz w:val="18"/>
    </w:rPr>
  </w:style>
  <w:style w:type="character" w:customStyle="1" w:styleId="DocumentMapChar">
    <w:name w:val="Document Map Char"/>
    <w:basedOn w:val="DefaultParagraphFont"/>
    <w:link w:val="DocumentMap"/>
    <w:semiHidden/>
    <w:rsid w:val="00491E54"/>
    <w:rPr>
      <w:rFonts w:ascii="Tahoma" w:hAnsi="Tahoma" w:cs="Tahoma"/>
      <w:sz w:val="18"/>
      <w:shd w:val="clear" w:color="auto" w:fill="000080"/>
    </w:rPr>
  </w:style>
  <w:style w:type="paragraph" w:styleId="EndnoteText">
    <w:name w:val="endnote text"/>
    <w:basedOn w:val="Normal"/>
    <w:link w:val="EndnoteTextChar"/>
    <w:semiHidden/>
    <w:rsid w:val="00491E54"/>
    <w:pPr>
      <w:tabs>
        <w:tab w:val="right" w:pos="5897"/>
      </w:tabs>
      <w:spacing w:after="120" w:line="240" w:lineRule="atLeast"/>
    </w:pPr>
    <w:rPr>
      <w:rFonts w:ascii="Arial" w:hAnsi="Arial"/>
      <w:sz w:val="20"/>
    </w:rPr>
  </w:style>
  <w:style w:type="character" w:customStyle="1" w:styleId="EndnoteTextChar">
    <w:name w:val="Endnote Text Char"/>
    <w:basedOn w:val="DefaultParagraphFont"/>
    <w:link w:val="EndnoteText"/>
    <w:semiHidden/>
    <w:rsid w:val="00491E54"/>
    <w:rPr>
      <w:rFonts w:ascii="Arial" w:hAnsi="Arial"/>
    </w:rPr>
  </w:style>
  <w:style w:type="paragraph" w:styleId="Index1">
    <w:name w:val="index 1"/>
    <w:basedOn w:val="Normal"/>
    <w:next w:val="Normal"/>
    <w:autoRedefine/>
    <w:semiHidden/>
    <w:rsid w:val="00491E54"/>
    <w:pPr>
      <w:tabs>
        <w:tab w:val="right" w:pos="5897"/>
      </w:tabs>
      <w:spacing w:after="120" w:line="240" w:lineRule="atLeast"/>
      <w:ind w:left="180" w:hanging="180"/>
    </w:pPr>
    <w:rPr>
      <w:rFonts w:ascii="Arial" w:hAnsi="Arial"/>
      <w:sz w:val="18"/>
    </w:rPr>
  </w:style>
  <w:style w:type="paragraph" w:styleId="Index2">
    <w:name w:val="index 2"/>
    <w:basedOn w:val="Normal"/>
    <w:next w:val="Normal"/>
    <w:autoRedefine/>
    <w:semiHidden/>
    <w:rsid w:val="00491E54"/>
    <w:pPr>
      <w:tabs>
        <w:tab w:val="right" w:pos="5897"/>
      </w:tabs>
      <w:spacing w:after="120" w:line="240" w:lineRule="atLeast"/>
      <w:ind w:left="360" w:hanging="180"/>
    </w:pPr>
    <w:rPr>
      <w:rFonts w:ascii="Arial" w:hAnsi="Arial"/>
      <w:sz w:val="18"/>
    </w:rPr>
  </w:style>
  <w:style w:type="paragraph" w:styleId="Index3">
    <w:name w:val="index 3"/>
    <w:basedOn w:val="Normal"/>
    <w:next w:val="Normal"/>
    <w:autoRedefine/>
    <w:semiHidden/>
    <w:rsid w:val="00491E54"/>
    <w:pPr>
      <w:tabs>
        <w:tab w:val="right" w:pos="5897"/>
      </w:tabs>
      <w:spacing w:after="120" w:line="240" w:lineRule="atLeast"/>
      <w:ind w:left="540" w:hanging="180"/>
    </w:pPr>
    <w:rPr>
      <w:rFonts w:ascii="Arial" w:hAnsi="Arial"/>
      <w:sz w:val="18"/>
    </w:rPr>
  </w:style>
  <w:style w:type="paragraph" w:styleId="Index4">
    <w:name w:val="index 4"/>
    <w:basedOn w:val="Normal"/>
    <w:next w:val="Normal"/>
    <w:autoRedefine/>
    <w:semiHidden/>
    <w:rsid w:val="00491E54"/>
    <w:pPr>
      <w:tabs>
        <w:tab w:val="right" w:pos="5897"/>
      </w:tabs>
      <w:spacing w:after="120" w:line="240" w:lineRule="atLeast"/>
      <w:ind w:left="720" w:hanging="180"/>
    </w:pPr>
    <w:rPr>
      <w:rFonts w:ascii="Arial" w:hAnsi="Arial"/>
      <w:sz w:val="18"/>
    </w:rPr>
  </w:style>
  <w:style w:type="paragraph" w:styleId="Index5">
    <w:name w:val="index 5"/>
    <w:basedOn w:val="Normal"/>
    <w:next w:val="Normal"/>
    <w:autoRedefine/>
    <w:semiHidden/>
    <w:rsid w:val="00491E54"/>
    <w:pPr>
      <w:tabs>
        <w:tab w:val="right" w:pos="5897"/>
      </w:tabs>
      <w:spacing w:after="120" w:line="240" w:lineRule="atLeast"/>
      <w:ind w:left="900" w:hanging="180"/>
    </w:pPr>
    <w:rPr>
      <w:rFonts w:ascii="Arial" w:hAnsi="Arial"/>
      <w:sz w:val="18"/>
    </w:rPr>
  </w:style>
  <w:style w:type="paragraph" w:styleId="Index6">
    <w:name w:val="index 6"/>
    <w:basedOn w:val="Normal"/>
    <w:next w:val="Normal"/>
    <w:autoRedefine/>
    <w:semiHidden/>
    <w:rsid w:val="00491E54"/>
    <w:pPr>
      <w:tabs>
        <w:tab w:val="right" w:pos="5897"/>
      </w:tabs>
      <w:spacing w:after="120" w:line="240" w:lineRule="atLeast"/>
      <w:ind w:left="1080" w:hanging="180"/>
    </w:pPr>
    <w:rPr>
      <w:rFonts w:ascii="Arial" w:hAnsi="Arial"/>
      <w:sz w:val="18"/>
    </w:rPr>
  </w:style>
  <w:style w:type="paragraph" w:styleId="Index7">
    <w:name w:val="index 7"/>
    <w:basedOn w:val="Normal"/>
    <w:next w:val="Normal"/>
    <w:autoRedefine/>
    <w:semiHidden/>
    <w:rsid w:val="00491E54"/>
    <w:pPr>
      <w:tabs>
        <w:tab w:val="right" w:pos="5897"/>
      </w:tabs>
      <w:spacing w:after="120" w:line="240" w:lineRule="atLeast"/>
      <w:ind w:left="1260" w:hanging="180"/>
    </w:pPr>
    <w:rPr>
      <w:rFonts w:ascii="Arial" w:hAnsi="Arial"/>
      <w:sz w:val="18"/>
    </w:rPr>
  </w:style>
  <w:style w:type="paragraph" w:styleId="Index8">
    <w:name w:val="index 8"/>
    <w:basedOn w:val="Normal"/>
    <w:next w:val="Normal"/>
    <w:autoRedefine/>
    <w:semiHidden/>
    <w:rsid w:val="00491E54"/>
    <w:pPr>
      <w:tabs>
        <w:tab w:val="right" w:pos="5897"/>
      </w:tabs>
      <w:spacing w:after="120" w:line="240" w:lineRule="atLeast"/>
      <w:ind w:left="1440" w:hanging="180"/>
    </w:pPr>
    <w:rPr>
      <w:rFonts w:ascii="Arial" w:hAnsi="Arial"/>
      <w:sz w:val="18"/>
    </w:rPr>
  </w:style>
  <w:style w:type="paragraph" w:styleId="Index9">
    <w:name w:val="index 9"/>
    <w:basedOn w:val="Normal"/>
    <w:next w:val="Normal"/>
    <w:autoRedefine/>
    <w:semiHidden/>
    <w:rsid w:val="00491E54"/>
    <w:pPr>
      <w:tabs>
        <w:tab w:val="right" w:pos="5897"/>
      </w:tabs>
      <w:spacing w:after="120" w:line="240" w:lineRule="atLeast"/>
      <w:ind w:left="1620" w:hanging="180"/>
    </w:pPr>
    <w:rPr>
      <w:rFonts w:ascii="Arial" w:hAnsi="Arial"/>
      <w:sz w:val="18"/>
    </w:rPr>
  </w:style>
  <w:style w:type="paragraph" w:styleId="IndexHeading">
    <w:name w:val="index heading"/>
    <w:basedOn w:val="Normal"/>
    <w:next w:val="Index1"/>
    <w:semiHidden/>
    <w:rsid w:val="00491E54"/>
    <w:pPr>
      <w:tabs>
        <w:tab w:val="right" w:pos="5897"/>
      </w:tabs>
      <w:spacing w:after="120" w:line="240" w:lineRule="atLeast"/>
    </w:pPr>
    <w:rPr>
      <w:rFonts w:ascii="Arial" w:hAnsi="Arial" w:cs="Arial"/>
      <w:b/>
      <w:bCs/>
      <w:sz w:val="18"/>
    </w:rPr>
  </w:style>
  <w:style w:type="paragraph" w:styleId="MacroText">
    <w:name w:val="macro"/>
    <w:link w:val="MacroTextChar"/>
    <w:semiHidden/>
    <w:rsid w:val="00491E54"/>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character" w:customStyle="1" w:styleId="MacroTextChar">
    <w:name w:val="Macro Text Char"/>
    <w:basedOn w:val="DefaultParagraphFont"/>
    <w:link w:val="MacroText"/>
    <w:semiHidden/>
    <w:rsid w:val="00491E54"/>
    <w:rPr>
      <w:rFonts w:ascii="Courier New" w:hAnsi="Courier New" w:cs="Courier New"/>
    </w:rPr>
  </w:style>
  <w:style w:type="paragraph" w:styleId="TableofAuthorities">
    <w:name w:val="table of authorities"/>
    <w:basedOn w:val="Normal"/>
    <w:next w:val="Normal"/>
    <w:semiHidden/>
    <w:rsid w:val="00491E54"/>
    <w:pPr>
      <w:tabs>
        <w:tab w:val="right" w:pos="5897"/>
      </w:tabs>
      <w:spacing w:after="120" w:line="240" w:lineRule="atLeast"/>
      <w:ind w:left="180" w:hanging="180"/>
    </w:pPr>
    <w:rPr>
      <w:rFonts w:ascii="Arial" w:hAnsi="Arial"/>
      <w:sz w:val="18"/>
    </w:rPr>
  </w:style>
  <w:style w:type="paragraph" w:styleId="TableofFigures">
    <w:name w:val="table of figures"/>
    <w:basedOn w:val="Normal"/>
    <w:next w:val="Normal"/>
    <w:semiHidden/>
    <w:rsid w:val="00491E54"/>
    <w:pPr>
      <w:tabs>
        <w:tab w:val="right" w:pos="5897"/>
      </w:tabs>
      <w:spacing w:after="120" w:line="240" w:lineRule="atLeast"/>
      <w:ind w:left="360" w:hanging="360"/>
    </w:pPr>
    <w:rPr>
      <w:rFonts w:ascii="Arial" w:hAnsi="Arial"/>
      <w:sz w:val="18"/>
    </w:rPr>
  </w:style>
  <w:style w:type="paragraph" w:styleId="TOAHeading">
    <w:name w:val="toa heading"/>
    <w:basedOn w:val="Normal"/>
    <w:next w:val="Normal"/>
    <w:semiHidden/>
    <w:rsid w:val="00491E54"/>
    <w:pPr>
      <w:tabs>
        <w:tab w:val="right" w:pos="5897"/>
      </w:tabs>
      <w:spacing w:before="120" w:after="120" w:line="240" w:lineRule="atLeast"/>
    </w:pPr>
    <w:rPr>
      <w:rFonts w:ascii="Arial" w:hAnsi="Arial" w:cs="Arial"/>
      <w:b/>
      <w:bCs/>
      <w:szCs w:val="24"/>
    </w:rPr>
  </w:style>
  <w:style w:type="paragraph" w:customStyle="1" w:styleId="Source">
    <w:name w:val="Source"/>
    <w:basedOn w:val="Normal"/>
    <w:rsid w:val="00491E54"/>
    <w:pPr>
      <w:tabs>
        <w:tab w:val="right" w:pos="5897"/>
      </w:tabs>
      <w:spacing w:before="115" w:after="120" w:line="180" w:lineRule="atLeast"/>
    </w:pPr>
    <w:rPr>
      <w:rFonts w:ascii="Arial" w:hAnsi="Arial"/>
      <w:sz w:val="12"/>
      <w:szCs w:val="10"/>
    </w:rPr>
  </w:style>
  <w:style w:type="paragraph" w:customStyle="1" w:styleId="Tableheading">
    <w:name w:val="Table heading"/>
    <w:basedOn w:val="Normal"/>
    <w:rsid w:val="00491E54"/>
    <w:pPr>
      <w:pBdr>
        <w:bottom w:val="single" w:sz="12" w:space="3" w:color="auto"/>
      </w:pBdr>
      <w:tabs>
        <w:tab w:val="right" w:pos="5897"/>
      </w:tabs>
      <w:spacing w:after="120" w:line="240" w:lineRule="atLeast"/>
    </w:pPr>
    <w:rPr>
      <w:rFonts w:ascii="Arial" w:hAnsi="Arial"/>
      <w:b/>
      <w:sz w:val="18"/>
    </w:rPr>
  </w:style>
  <w:style w:type="paragraph" w:customStyle="1" w:styleId="Grid">
    <w:name w:val="Grid"/>
    <w:basedOn w:val="Normal"/>
    <w:rsid w:val="00491E54"/>
    <w:pPr>
      <w:tabs>
        <w:tab w:val="right" w:pos="5897"/>
      </w:tabs>
      <w:spacing w:line="180" w:lineRule="exact"/>
    </w:pPr>
    <w:rPr>
      <w:rFonts w:ascii="Arial" w:hAnsi="Arial"/>
      <w:sz w:val="18"/>
      <w:szCs w:val="16"/>
    </w:rPr>
  </w:style>
  <w:style w:type="character" w:styleId="PageNumber">
    <w:name w:val="page number"/>
    <w:basedOn w:val="DefaultParagraphFont"/>
    <w:semiHidden/>
    <w:rsid w:val="00491E54"/>
  </w:style>
  <w:style w:type="numbering" w:customStyle="1" w:styleId="Style1">
    <w:name w:val="Style1"/>
    <w:uiPriority w:val="99"/>
    <w:rsid w:val="00491E54"/>
    <w:pPr>
      <w:numPr>
        <w:numId w:val="15"/>
      </w:numPr>
    </w:pPr>
  </w:style>
  <w:style w:type="paragraph" w:customStyle="1" w:styleId="Default">
    <w:name w:val="Default"/>
    <w:link w:val="DefaultChar"/>
    <w:rsid w:val="00491E54"/>
    <w:pPr>
      <w:autoSpaceDE w:val="0"/>
      <w:autoSpaceDN w:val="0"/>
      <w:adjustRightInd w:val="0"/>
    </w:pPr>
    <w:rPr>
      <w:rFonts w:ascii="Arial" w:eastAsia="MS Mincho" w:hAnsi="Arial" w:cs="Arial"/>
      <w:color w:val="000000"/>
      <w:sz w:val="24"/>
      <w:szCs w:val="24"/>
      <w:lang w:eastAsia="ja-JP"/>
    </w:rPr>
  </w:style>
  <w:style w:type="character" w:customStyle="1" w:styleId="DefaultChar">
    <w:name w:val="Default Char"/>
    <w:link w:val="Default"/>
    <w:rsid w:val="00491E54"/>
    <w:rPr>
      <w:rFonts w:ascii="Arial" w:eastAsia="MS Mincho" w:hAnsi="Arial" w:cs="Arial"/>
      <w:color w:val="000000"/>
      <w:sz w:val="24"/>
      <w:szCs w:val="24"/>
      <w:lang w:eastAsia="ja-JP"/>
    </w:rPr>
  </w:style>
  <w:style w:type="paragraph" w:styleId="BodyTextIndent2">
    <w:name w:val="Body Text Indent 2"/>
    <w:basedOn w:val="Normal"/>
    <w:link w:val="BodyTextIndent2Char"/>
    <w:rsid w:val="00491E54"/>
    <w:pPr>
      <w:tabs>
        <w:tab w:val="right" w:pos="9582"/>
      </w:tabs>
      <w:spacing w:after="120" w:line="480" w:lineRule="auto"/>
      <w:ind w:left="283"/>
    </w:pPr>
    <w:rPr>
      <w:rFonts w:ascii="Arial" w:hAnsi="Arial"/>
      <w:sz w:val="18"/>
    </w:rPr>
  </w:style>
  <w:style w:type="character" w:customStyle="1" w:styleId="BodyTextIndent2Char">
    <w:name w:val="Body Text Indent 2 Char"/>
    <w:basedOn w:val="DefaultParagraphFont"/>
    <w:link w:val="BodyTextIndent2"/>
    <w:rsid w:val="00491E54"/>
    <w:rPr>
      <w:rFonts w:ascii="Arial" w:hAnsi="Arial"/>
      <w:sz w:val="18"/>
    </w:rPr>
  </w:style>
  <w:style w:type="paragraph" w:customStyle="1" w:styleId="NumeralList">
    <w:name w:val="Numeral List"/>
    <w:rsid w:val="00491E54"/>
    <w:pPr>
      <w:numPr>
        <w:numId w:val="17"/>
      </w:numPr>
      <w:spacing w:before="240"/>
    </w:pPr>
    <w:rPr>
      <w:sz w:val="24"/>
    </w:rPr>
  </w:style>
  <w:style w:type="paragraph" w:styleId="NormalWeb">
    <w:name w:val="Normal (Web)"/>
    <w:basedOn w:val="Normal"/>
    <w:uiPriority w:val="99"/>
    <w:unhideWhenUsed/>
    <w:rsid w:val="00491E54"/>
    <w:pPr>
      <w:spacing w:before="100" w:beforeAutospacing="1" w:after="100" w:afterAutospacing="1"/>
    </w:pPr>
    <w:rPr>
      <w:szCs w:val="24"/>
    </w:rPr>
  </w:style>
  <w:style w:type="character" w:styleId="Emphasis">
    <w:name w:val="Emphasis"/>
    <w:basedOn w:val="DefaultParagraphFont"/>
    <w:uiPriority w:val="20"/>
    <w:qFormat/>
    <w:rsid w:val="00491E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943">
      <w:bodyDiv w:val="1"/>
      <w:marLeft w:val="0"/>
      <w:marRight w:val="0"/>
      <w:marTop w:val="0"/>
      <w:marBottom w:val="0"/>
      <w:divBdr>
        <w:top w:val="none" w:sz="0" w:space="0" w:color="auto"/>
        <w:left w:val="none" w:sz="0" w:space="0" w:color="auto"/>
        <w:bottom w:val="none" w:sz="0" w:space="0" w:color="auto"/>
        <w:right w:val="none" w:sz="0" w:space="0" w:color="auto"/>
      </w:divBdr>
    </w:div>
    <w:div w:id="76639046">
      <w:bodyDiv w:val="1"/>
      <w:marLeft w:val="0"/>
      <w:marRight w:val="0"/>
      <w:marTop w:val="0"/>
      <w:marBottom w:val="0"/>
      <w:divBdr>
        <w:top w:val="none" w:sz="0" w:space="0" w:color="auto"/>
        <w:left w:val="none" w:sz="0" w:space="0" w:color="auto"/>
        <w:bottom w:val="none" w:sz="0" w:space="0" w:color="auto"/>
        <w:right w:val="none" w:sz="0" w:space="0" w:color="auto"/>
      </w:divBdr>
    </w:div>
    <w:div w:id="147089649">
      <w:bodyDiv w:val="1"/>
      <w:marLeft w:val="0"/>
      <w:marRight w:val="0"/>
      <w:marTop w:val="0"/>
      <w:marBottom w:val="0"/>
      <w:divBdr>
        <w:top w:val="none" w:sz="0" w:space="0" w:color="auto"/>
        <w:left w:val="none" w:sz="0" w:space="0" w:color="auto"/>
        <w:bottom w:val="none" w:sz="0" w:space="0" w:color="auto"/>
        <w:right w:val="none" w:sz="0" w:space="0" w:color="auto"/>
      </w:divBdr>
    </w:div>
    <w:div w:id="216288123">
      <w:bodyDiv w:val="1"/>
      <w:marLeft w:val="0"/>
      <w:marRight w:val="0"/>
      <w:marTop w:val="0"/>
      <w:marBottom w:val="0"/>
      <w:divBdr>
        <w:top w:val="none" w:sz="0" w:space="0" w:color="auto"/>
        <w:left w:val="none" w:sz="0" w:space="0" w:color="auto"/>
        <w:bottom w:val="none" w:sz="0" w:space="0" w:color="auto"/>
        <w:right w:val="none" w:sz="0" w:space="0" w:color="auto"/>
      </w:divBdr>
      <w:divsChild>
        <w:div w:id="326057909">
          <w:marLeft w:val="0"/>
          <w:marRight w:val="0"/>
          <w:marTop w:val="0"/>
          <w:marBottom w:val="0"/>
          <w:divBdr>
            <w:top w:val="none" w:sz="0" w:space="0" w:color="auto"/>
            <w:left w:val="none" w:sz="0" w:space="0" w:color="auto"/>
            <w:bottom w:val="none" w:sz="0" w:space="0" w:color="auto"/>
            <w:right w:val="none" w:sz="0" w:space="0" w:color="auto"/>
          </w:divBdr>
        </w:div>
        <w:div w:id="1410690546">
          <w:marLeft w:val="0"/>
          <w:marRight w:val="0"/>
          <w:marTop w:val="0"/>
          <w:marBottom w:val="0"/>
          <w:divBdr>
            <w:top w:val="none" w:sz="0" w:space="0" w:color="auto"/>
            <w:left w:val="none" w:sz="0" w:space="0" w:color="auto"/>
            <w:bottom w:val="none" w:sz="0" w:space="0" w:color="auto"/>
            <w:right w:val="none" w:sz="0" w:space="0" w:color="auto"/>
          </w:divBdr>
        </w:div>
      </w:divsChild>
    </w:div>
    <w:div w:id="281880749">
      <w:bodyDiv w:val="1"/>
      <w:marLeft w:val="0"/>
      <w:marRight w:val="0"/>
      <w:marTop w:val="0"/>
      <w:marBottom w:val="0"/>
      <w:divBdr>
        <w:top w:val="none" w:sz="0" w:space="0" w:color="auto"/>
        <w:left w:val="none" w:sz="0" w:space="0" w:color="auto"/>
        <w:bottom w:val="none" w:sz="0" w:space="0" w:color="auto"/>
        <w:right w:val="none" w:sz="0" w:space="0" w:color="auto"/>
      </w:divBdr>
      <w:divsChild>
        <w:div w:id="101532255">
          <w:marLeft w:val="0"/>
          <w:marRight w:val="0"/>
          <w:marTop w:val="0"/>
          <w:marBottom w:val="0"/>
          <w:divBdr>
            <w:top w:val="none" w:sz="0" w:space="0" w:color="auto"/>
            <w:left w:val="none" w:sz="0" w:space="0" w:color="auto"/>
            <w:bottom w:val="none" w:sz="0" w:space="0" w:color="auto"/>
            <w:right w:val="none" w:sz="0" w:space="0" w:color="auto"/>
          </w:divBdr>
        </w:div>
        <w:div w:id="1453595092">
          <w:marLeft w:val="0"/>
          <w:marRight w:val="0"/>
          <w:marTop w:val="0"/>
          <w:marBottom w:val="0"/>
          <w:divBdr>
            <w:top w:val="none" w:sz="0" w:space="0" w:color="auto"/>
            <w:left w:val="none" w:sz="0" w:space="0" w:color="auto"/>
            <w:bottom w:val="none" w:sz="0" w:space="0" w:color="auto"/>
            <w:right w:val="none" w:sz="0" w:space="0" w:color="auto"/>
          </w:divBdr>
        </w:div>
        <w:div w:id="1584602858">
          <w:marLeft w:val="0"/>
          <w:marRight w:val="0"/>
          <w:marTop w:val="0"/>
          <w:marBottom w:val="0"/>
          <w:divBdr>
            <w:top w:val="none" w:sz="0" w:space="0" w:color="auto"/>
            <w:left w:val="none" w:sz="0" w:space="0" w:color="auto"/>
            <w:bottom w:val="none" w:sz="0" w:space="0" w:color="auto"/>
            <w:right w:val="none" w:sz="0" w:space="0" w:color="auto"/>
          </w:divBdr>
        </w:div>
      </w:divsChild>
    </w:div>
    <w:div w:id="332683229">
      <w:bodyDiv w:val="1"/>
      <w:marLeft w:val="0"/>
      <w:marRight w:val="0"/>
      <w:marTop w:val="0"/>
      <w:marBottom w:val="0"/>
      <w:divBdr>
        <w:top w:val="none" w:sz="0" w:space="0" w:color="auto"/>
        <w:left w:val="none" w:sz="0" w:space="0" w:color="auto"/>
        <w:bottom w:val="none" w:sz="0" w:space="0" w:color="auto"/>
        <w:right w:val="none" w:sz="0" w:space="0" w:color="auto"/>
      </w:divBdr>
      <w:divsChild>
        <w:div w:id="1441603739">
          <w:marLeft w:val="0"/>
          <w:marRight w:val="0"/>
          <w:marTop w:val="0"/>
          <w:marBottom w:val="0"/>
          <w:divBdr>
            <w:top w:val="none" w:sz="0" w:space="0" w:color="auto"/>
            <w:left w:val="none" w:sz="0" w:space="0" w:color="auto"/>
            <w:bottom w:val="none" w:sz="0" w:space="0" w:color="auto"/>
            <w:right w:val="none" w:sz="0" w:space="0" w:color="auto"/>
          </w:divBdr>
          <w:divsChild>
            <w:div w:id="171184850">
              <w:marLeft w:val="0"/>
              <w:marRight w:val="0"/>
              <w:marTop w:val="0"/>
              <w:marBottom w:val="0"/>
              <w:divBdr>
                <w:top w:val="none" w:sz="0" w:space="0" w:color="auto"/>
                <w:left w:val="none" w:sz="0" w:space="0" w:color="auto"/>
                <w:bottom w:val="none" w:sz="0" w:space="0" w:color="auto"/>
                <w:right w:val="none" w:sz="0" w:space="0" w:color="auto"/>
              </w:divBdr>
            </w:div>
            <w:div w:id="308092595">
              <w:marLeft w:val="0"/>
              <w:marRight w:val="0"/>
              <w:marTop w:val="0"/>
              <w:marBottom w:val="0"/>
              <w:divBdr>
                <w:top w:val="none" w:sz="0" w:space="0" w:color="auto"/>
                <w:left w:val="none" w:sz="0" w:space="0" w:color="auto"/>
                <w:bottom w:val="none" w:sz="0" w:space="0" w:color="auto"/>
                <w:right w:val="none" w:sz="0" w:space="0" w:color="auto"/>
              </w:divBdr>
            </w:div>
            <w:div w:id="319388153">
              <w:marLeft w:val="0"/>
              <w:marRight w:val="0"/>
              <w:marTop w:val="0"/>
              <w:marBottom w:val="0"/>
              <w:divBdr>
                <w:top w:val="none" w:sz="0" w:space="0" w:color="auto"/>
                <w:left w:val="none" w:sz="0" w:space="0" w:color="auto"/>
                <w:bottom w:val="none" w:sz="0" w:space="0" w:color="auto"/>
                <w:right w:val="none" w:sz="0" w:space="0" w:color="auto"/>
              </w:divBdr>
            </w:div>
            <w:div w:id="471410411">
              <w:marLeft w:val="0"/>
              <w:marRight w:val="0"/>
              <w:marTop w:val="0"/>
              <w:marBottom w:val="0"/>
              <w:divBdr>
                <w:top w:val="none" w:sz="0" w:space="0" w:color="auto"/>
                <w:left w:val="none" w:sz="0" w:space="0" w:color="auto"/>
                <w:bottom w:val="none" w:sz="0" w:space="0" w:color="auto"/>
                <w:right w:val="none" w:sz="0" w:space="0" w:color="auto"/>
              </w:divBdr>
            </w:div>
            <w:div w:id="504786915">
              <w:marLeft w:val="0"/>
              <w:marRight w:val="0"/>
              <w:marTop w:val="0"/>
              <w:marBottom w:val="0"/>
              <w:divBdr>
                <w:top w:val="none" w:sz="0" w:space="0" w:color="auto"/>
                <w:left w:val="none" w:sz="0" w:space="0" w:color="auto"/>
                <w:bottom w:val="none" w:sz="0" w:space="0" w:color="auto"/>
                <w:right w:val="none" w:sz="0" w:space="0" w:color="auto"/>
              </w:divBdr>
            </w:div>
            <w:div w:id="578826413">
              <w:marLeft w:val="0"/>
              <w:marRight w:val="0"/>
              <w:marTop w:val="0"/>
              <w:marBottom w:val="0"/>
              <w:divBdr>
                <w:top w:val="none" w:sz="0" w:space="0" w:color="auto"/>
                <w:left w:val="none" w:sz="0" w:space="0" w:color="auto"/>
                <w:bottom w:val="none" w:sz="0" w:space="0" w:color="auto"/>
                <w:right w:val="none" w:sz="0" w:space="0" w:color="auto"/>
              </w:divBdr>
            </w:div>
            <w:div w:id="585577983">
              <w:marLeft w:val="0"/>
              <w:marRight w:val="0"/>
              <w:marTop w:val="0"/>
              <w:marBottom w:val="0"/>
              <w:divBdr>
                <w:top w:val="none" w:sz="0" w:space="0" w:color="auto"/>
                <w:left w:val="none" w:sz="0" w:space="0" w:color="auto"/>
                <w:bottom w:val="none" w:sz="0" w:space="0" w:color="auto"/>
                <w:right w:val="none" w:sz="0" w:space="0" w:color="auto"/>
              </w:divBdr>
            </w:div>
            <w:div w:id="782654466">
              <w:marLeft w:val="0"/>
              <w:marRight w:val="0"/>
              <w:marTop w:val="0"/>
              <w:marBottom w:val="0"/>
              <w:divBdr>
                <w:top w:val="none" w:sz="0" w:space="0" w:color="auto"/>
                <w:left w:val="none" w:sz="0" w:space="0" w:color="auto"/>
                <w:bottom w:val="none" w:sz="0" w:space="0" w:color="auto"/>
                <w:right w:val="none" w:sz="0" w:space="0" w:color="auto"/>
              </w:divBdr>
            </w:div>
            <w:div w:id="856698757">
              <w:marLeft w:val="0"/>
              <w:marRight w:val="0"/>
              <w:marTop w:val="0"/>
              <w:marBottom w:val="0"/>
              <w:divBdr>
                <w:top w:val="none" w:sz="0" w:space="0" w:color="auto"/>
                <w:left w:val="none" w:sz="0" w:space="0" w:color="auto"/>
                <w:bottom w:val="none" w:sz="0" w:space="0" w:color="auto"/>
                <w:right w:val="none" w:sz="0" w:space="0" w:color="auto"/>
              </w:divBdr>
            </w:div>
            <w:div w:id="1631128628">
              <w:marLeft w:val="0"/>
              <w:marRight w:val="0"/>
              <w:marTop w:val="0"/>
              <w:marBottom w:val="0"/>
              <w:divBdr>
                <w:top w:val="none" w:sz="0" w:space="0" w:color="auto"/>
                <w:left w:val="none" w:sz="0" w:space="0" w:color="auto"/>
                <w:bottom w:val="none" w:sz="0" w:space="0" w:color="auto"/>
                <w:right w:val="none" w:sz="0" w:space="0" w:color="auto"/>
              </w:divBdr>
            </w:div>
            <w:div w:id="1768962179">
              <w:marLeft w:val="0"/>
              <w:marRight w:val="0"/>
              <w:marTop w:val="0"/>
              <w:marBottom w:val="0"/>
              <w:divBdr>
                <w:top w:val="none" w:sz="0" w:space="0" w:color="auto"/>
                <w:left w:val="none" w:sz="0" w:space="0" w:color="auto"/>
                <w:bottom w:val="none" w:sz="0" w:space="0" w:color="auto"/>
                <w:right w:val="none" w:sz="0" w:space="0" w:color="auto"/>
              </w:divBdr>
            </w:div>
            <w:div w:id="1870996346">
              <w:marLeft w:val="0"/>
              <w:marRight w:val="0"/>
              <w:marTop w:val="0"/>
              <w:marBottom w:val="0"/>
              <w:divBdr>
                <w:top w:val="none" w:sz="0" w:space="0" w:color="auto"/>
                <w:left w:val="none" w:sz="0" w:space="0" w:color="auto"/>
                <w:bottom w:val="none" w:sz="0" w:space="0" w:color="auto"/>
                <w:right w:val="none" w:sz="0" w:space="0" w:color="auto"/>
              </w:divBdr>
            </w:div>
            <w:div w:id="1873881544">
              <w:marLeft w:val="0"/>
              <w:marRight w:val="0"/>
              <w:marTop w:val="0"/>
              <w:marBottom w:val="0"/>
              <w:divBdr>
                <w:top w:val="none" w:sz="0" w:space="0" w:color="auto"/>
                <w:left w:val="none" w:sz="0" w:space="0" w:color="auto"/>
                <w:bottom w:val="none" w:sz="0" w:space="0" w:color="auto"/>
                <w:right w:val="none" w:sz="0" w:space="0" w:color="auto"/>
              </w:divBdr>
            </w:div>
            <w:div w:id="2000881925">
              <w:marLeft w:val="0"/>
              <w:marRight w:val="0"/>
              <w:marTop w:val="0"/>
              <w:marBottom w:val="0"/>
              <w:divBdr>
                <w:top w:val="none" w:sz="0" w:space="0" w:color="auto"/>
                <w:left w:val="none" w:sz="0" w:space="0" w:color="auto"/>
                <w:bottom w:val="none" w:sz="0" w:space="0" w:color="auto"/>
                <w:right w:val="none" w:sz="0" w:space="0" w:color="auto"/>
              </w:divBdr>
            </w:div>
            <w:div w:id="2042317755">
              <w:marLeft w:val="0"/>
              <w:marRight w:val="0"/>
              <w:marTop w:val="0"/>
              <w:marBottom w:val="0"/>
              <w:divBdr>
                <w:top w:val="none" w:sz="0" w:space="0" w:color="auto"/>
                <w:left w:val="none" w:sz="0" w:space="0" w:color="auto"/>
                <w:bottom w:val="none" w:sz="0" w:space="0" w:color="auto"/>
                <w:right w:val="none" w:sz="0" w:space="0" w:color="auto"/>
              </w:divBdr>
            </w:div>
            <w:div w:id="2136484947">
              <w:marLeft w:val="0"/>
              <w:marRight w:val="0"/>
              <w:marTop w:val="0"/>
              <w:marBottom w:val="0"/>
              <w:divBdr>
                <w:top w:val="none" w:sz="0" w:space="0" w:color="auto"/>
                <w:left w:val="none" w:sz="0" w:space="0" w:color="auto"/>
                <w:bottom w:val="none" w:sz="0" w:space="0" w:color="auto"/>
                <w:right w:val="none" w:sz="0" w:space="0" w:color="auto"/>
              </w:divBdr>
            </w:div>
          </w:divsChild>
        </w:div>
        <w:div w:id="1852836912">
          <w:marLeft w:val="0"/>
          <w:marRight w:val="0"/>
          <w:marTop w:val="0"/>
          <w:marBottom w:val="0"/>
          <w:divBdr>
            <w:top w:val="none" w:sz="0" w:space="0" w:color="auto"/>
            <w:left w:val="none" w:sz="0" w:space="0" w:color="auto"/>
            <w:bottom w:val="none" w:sz="0" w:space="0" w:color="auto"/>
            <w:right w:val="none" w:sz="0" w:space="0" w:color="auto"/>
          </w:divBdr>
          <w:divsChild>
            <w:div w:id="387193663">
              <w:marLeft w:val="0"/>
              <w:marRight w:val="0"/>
              <w:marTop w:val="0"/>
              <w:marBottom w:val="0"/>
              <w:divBdr>
                <w:top w:val="none" w:sz="0" w:space="0" w:color="auto"/>
                <w:left w:val="none" w:sz="0" w:space="0" w:color="auto"/>
                <w:bottom w:val="none" w:sz="0" w:space="0" w:color="auto"/>
                <w:right w:val="none" w:sz="0" w:space="0" w:color="auto"/>
              </w:divBdr>
            </w:div>
            <w:div w:id="722215460">
              <w:marLeft w:val="0"/>
              <w:marRight w:val="0"/>
              <w:marTop w:val="0"/>
              <w:marBottom w:val="0"/>
              <w:divBdr>
                <w:top w:val="none" w:sz="0" w:space="0" w:color="auto"/>
                <w:left w:val="none" w:sz="0" w:space="0" w:color="auto"/>
                <w:bottom w:val="none" w:sz="0" w:space="0" w:color="auto"/>
                <w:right w:val="none" w:sz="0" w:space="0" w:color="auto"/>
              </w:divBdr>
            </w:div>
            <w:div w:id="885027477">
              <w:marLeft w:val="0"/>
              <w:marRight w:val="0"/>
              <w:marTop w:val="0"/>
              <w:marBottom w:val="0"/>
              <w:divBdr>
                <w:top w:val="none" w:sz="0" w:space="0" w:color="auto"/>
                <w:left w:val="none" w:sz="0" w:space="0" w:color="auto"/>
                <w:bottom w:val="none" w:sz="0" w:space="0" w:color="auto"/>
                <w:right w:val="none" w:sz="0" w:space="0" w:color="auto"/>
              </w:divBdr>
            </w:div>
            <w:div w:id="1245215812">
              <w:marLeft w:val="0"/>
              <w:marRight w:val="0"/>
              <w:marTop w:val="0"/>
              <w:marBottom w:val="0"/>
              <w:divBdr>
                <w:top w:val="none" w:sz="0" w:space="0" w:color="auto"/>
                <w:left w:val="none" w:sz="0" w:space="0" w:color="auto"/>
                <w:bottom w:val="none" w:sz="0" w:space="0" w:color="auto"/>
                <w:right w:val="none" w:sz="0" w:space="0" w:color="auto"/>
              </w:divBdr>
            </w:div>
            <w:div w:id="1497259525">
              <w:marLeft w:val="0"/>
              <w:marRight w:val="0"/>
              <w:marTop w:val="0"/>
              <w:marBottom w:val="0"/>
              <w:divBdr>
                <w:top w:val="none" w:sz="0" w:space="0" w:color="auto"/>
                <w:left w:val="none" w:sz="0" w:space="0" w:color="auto"/>
                <w:bottom w:val="none" w:sz="0" w:space="0" w:color="auto"/>
                <w:right w:val="none" w:sz="0" w:space="0" w:color="auto"/>
              </w:divBdr>
            </w:div>
            <w:div w:id="1680425424">
              <w:marLeft w:val="0"/>
              <w:marRight w:val="0"/>
              <w:marTop w:val="0"/>
              <w:marBottom w:val="0"/>
              <w:divBdr>
                <w:top w:val="none" w:sz="0" w:space="0" w:color="auto"/>
                <w:left w:val="none" w:sz="0" w:space="0" w:color="auto"/>
                <w:bottom w:val="none" w:sz="0" w:space="0" w:color="auto"/>
                <w:right w:val="none" w:sz="0" w:space="0" w:color="auto"/>
              </w:divBdr>
            </w:div>
            <w:div w:id="1762143284">
              <w:marLeft w:val="0"/>
              <w:marRight w:val="0"/>
              <w:marTop w:val="0"/>
              <w:marBottom w:val="0"/>
              <w:divBdr>
                <w:top w:val="none" w:sz="0" w:space="0" w:color="auto"/>
                <w:left w:val="none" w:sz="0" w:space="0" w:color="auto"/>
                <w:bottom w:val="none" w:sz="0" w:space="0" w:color="auto"/>
                <w:right w:val="none" w:sz="0" w:space="0" w:color="auto"/>
              </w:divBdr>
            </w:div>
            <w:div w:id="1795559641">
              <w:marLeft w:val="0"/>
              <w:marRight w:val="0"/>
              <w:marTop w:val="0"/>
              <w:marBottom w:val="0"/>
              <w:divBdr>
                <w:top w:val="none" w:sz="0" w:space="0" w:color="auto"/>
                <w:left w:val="none" w:sz="0" w:space="0" w:color="auto"/>
                <w:bottom w:val="none" w:sz="0" w:space="0" w:color="auto"/>
                <w:right w:val="none" w:sz="0" w:space="0" w:color="auto"/>
              </w:divBdr>
            </w:div>
            <w:div w:id="20881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75975">
      <w:bodyDiv w:val="1"/>
      <w:marLeft w:val="0"/>
      <w:marRight w:val="0"/>
      <w:marTop w:val="0"/>
      <w:marBottom w:val="0"/>
      <w:divBdr>
        <w:top w:val="none" w:sz="0" w:space="0" w:color="auto"/>
        <w:left w:val="none" w:sz="0" w:space="0" w:color="auto"/>
        <w:bottom w:val="none" w:sz="0" w:space="0" w:color="auto"/>
        <w:right w:val="none" w:sz="0" w:space="0" w:color="auto"/>
      </w:divBdr>
      <w:divsChild>
        <w:div w:id="268394607">
          <w:marLeft w:val="0"/>
          <w:marRight w:val="0"/>
          <w:marTop w:val="0"/>
          <w:marBottom w:val="0"/>
          <w:divBdr>
            <w:top w:val="none" w:sz="0" w:space="0" w:color="auto"/>
            <w:left w:val="none" w:sz="0" w:space="0" w:color="auto"/>
            <w:bottom w:val="none" w:sz="0" w:space="0" w:color="auto"/>
            <w:right w:val="none" w:sz="0" w:space="0" w:color="auto"/>
          </w:divBdr>
        </w:div>
        <w:div w:id="700594743">
          <w:marLeft w:val="0"/>
          <w:marRight w:val="0"/>
          <w:marTop w:val="0"/>
          <w:marBottom w:val="0"/>
          <w:divBdr>
            <w:top w:val="none" w:sz="0" w:space="0" w:color="auto"/>
            <w:left w:val="none" w:sz="0" w:space="0" w:color="auto"/>
            <w:bottom w:val="none" w:sz="0" w:space="0" w:color="auto"/>
            <w:right w:val="none" w:sz="0" w:space="0" w:color="auto"/>
          </w:divBdr>
        </w:div>
      </w:divsChild>
    </w:div>
    <w:div w:id="474219654">
      <w:bodyDiv w:val="1"/>
      <w:marLeft w:val="0"/>
      <w:marRight w:val="0"/>
      <w:marTop w:val="0"/>
      <w:marBottom w:val="0"/>
      <w:divBdr>
        <w:top w:val="none" w:sz="0" w:space="0" w:color="auto"/>
        <w:left w:val="none" w:sz="0" w:space="0" w:color="auto"/>
        <w:bottom w:val="none" w:sz="0" w:space="0" w:color="auto"/>
        <w:right w:val="none" w:sz="0" w:space="0" w:color="auto"/>
      </w:divBdr>
      <w:divsChild>
        <w:div w:id="11149054">
          <w:marLeft w:val="0"/>
          <w:marRight w:val="0"/>
          <w:marTop w:val="0"/>
          <w:marBottom w:val="0"/>
          <w:divBdr>
            <w:top w:val="none" w:sz="0" w:space="0" w:color="auto"/>
            <w:left w:val="none" w:sz="0" w:space="0" w:color="auto"/>
            <w:bottom w:val="none" w:sz="0" w:space="0" w:color="auto"/>
            <w:right w:val="none" w:sz="0" w:space="0" w:color="auto"/>
          </w:divBdr>
        </w:div>
        <w:div w:id="388846820">
          <w:marLeft w:val="0"/>
          <w:marRight w:val="0"/>
          <w:marTop w:val="0"/>
          <w:marBottom w:val="0"/>
          <w:divBdr>
            <w:top w:val="none" w:sz="0" w:space="0" w:color="auto"/>
            <w:left w:val="none" w:sz="0" w:space="0" w:color="auto"/>
            <w:bottom w:val="none" w:sz="0" w:space="0" w:color="auto"/>
            <w:right w:val="none" w:sz="0" w:space="0" w:color="auto"/>
          </w:divBdr>
        </w:div>
        <w:div w:id="584151049">
          <w:marLeft w:val="0"/>
          <w:marRight w:val="0"/>
          <w:marTop w:val="0"/>
          <w:marBottom w:val="0"/>
          <w:divBdr>
            <w:top w:val="none" w:sz="0" w:space="0" w:color="auto"/>
            <w:left w:val="none" w:sz="0" w:space="0" w:color="auto"/>
            <w:bottom w:val="none" w:sz="0" w:space="0" w:color="auto"/>
            <w:right w:val="none" w:sz="0" w:space="0" w:color="auto"/>
          </w:divBdr>
        </w:div>
        <w:div w:id="598372838">
          <w:marLeft w:val="0"/>
          <w:marRight w:val="0"/>
          <w:marTop w:val="0"/>
          <w:marBottom w:val="0"/>
          <w:divBdr>
            <w:top w:val="none" w:sz="0" w:space="0" w:color="auto"/>
            <w:left w:val="none" w:sz="0" w:space="0" w:color="auto"/>
            <w:bottom w:val="none" w:sz="0" w:space="0" w:color="auto"/>
            <w:right w:val="none" w:sz="0" w:space="0" w:color="auto"/>
          </w:divBdr>
        </w:div>
        <w:div w:id="734478054">
          <w:marLeft w:val="0"/>
          <w:marRight w:val="0"/>
          <w:marTop w:val="0"/>
          <w:marBottom w:val="0"/>
          <w:divBdr>
            <w:top w:val="none" w:sz="0" w:space="0" w:color="auto"/>
            <w:left w:val="none" w:sz="0" w:space="0" w:color="auto"/>
            <w:bottom w:val="none" w:sz="0" w:space="0" w:color="auto"/>
            <w:right w:val="none" w:sz="0" w:space="0" w:color="auto"/>
          </w:divBdr>
        </w:div>
        <w:div w:id="764570733">
          <w:marLeft w:val="0"/>
          <w:marRight w:val="0"/>
          <w:marTop w:val="0"/>
          <w:marBottom w:val="0"/>
          <w:divBdr>
            <w:top w:val="none" w:sz="0" w:space="0" w:color="auto"/>
            <w:left w:val="none" w:sz="0" w:space="0" w:color="auto"/>
            <w:bottom w:val="none" w:sz="0" w:space="0" w:color="auto"/>
            <w:right w:val="none" w:sz="0" w:space="0" w:color="auto"/>
          </w:divBdr>
        </w:div>
        <w:div w:id="812991241">
          <w:marLeft w:val="0"/>
          <w:marRight w:val="0"/>
          <w:marTop w:val="0"/>
          <w:marBottom w:val="0"/>
          <w:divBdr>
            <w:top w:val="none" w:sz="0" w:space="0" w:color="auto"/>
            <w:left w:val="none" w:sz="0" w:space="0" w:color="auto"/>
            <w:bottom w:val="none" w:sz="0" w:space="0" w:color="auto"/>
            <w:right w:val="none" w:sz="0" w:space="0" w:color="auto"/>
          </w:divBdr>
        </w:div>
        <w:div w:id="1585187119">
          <w:marLeft w:val="0"/>
          <w:marRight w:val="0"/>
          <w:marTop w:val="0"/>
          <w:marBottom w:val="0"/>
          <w:divBdr>
            <w:top w:val="none" w:sz="0" w:space="0" w:color="auto"/>
            <w:left w:val="none" w:sz="0" w:space="0" w:color="auto"/>
            <w:bottom w:val="none" w:sz="0" w:space="0" w:color="auto"/>
            <w:right w:val="none" w:sz="0" w:space="0" w:color="auto"/>
          </w:divBdr>
        </w:div>
        <w:div w:id="1913277632">
          <w:marLeft w:val="0"/>
          <w:marRight w:val="0"/>
          <w:marTop w:val="0"/>
          <w:marBottom w:val="0"/>
          <w:divBdr>
            <w:top w:val="none" w:sz="0" w:space="0" w:color="auto"/>
            <w:left w:val="none" w:sz="0" w:space="0" w:color="auto"/>
            <w:bottom w:val="none" w:sz="0" w:space="0" w:color="auto"/>
            <w:right w:val="none" w:sz="0" w:space="0" w:color="auto"/>
          </w:divBdr>
        </w:div>
      </w:divsChild>
    </w:div>
    <w:div w:id="496460042">
      <w:bodyDiv w:val="1"/>
      <w:marLeft w:val="0"/>
      <w:marRight w:val="0"/>
      <w:marTop w:val="0"/>
      <w:marBottom w:val="0"/>
      <w:divBdr>
        <w:top w:val="none" w:sz="0" w:space="0" w:color="auto"/>
        <w:left w:val="none" w:sz="0" w:space="0" w:color="auto"/>
        <w:bottom w:val="none" w:sz="0" w:space="0" w:color="auto"/>
        <w:right w:val="none" w:sz="0" w:space="0" w:color="auto"/>
      </w:divBdr>
    </w:div>
    <w:div w:id="577327198">
      <w:bodyDiv w:val="1"/>
      <w:marLeft w:val="0"/>
      <w:marRight w:val="0"/>
      <w:marTop w:val="0"/>
      <w:marBottom w:val="0"/>
      <w:divBdr>
        <w:top w:val="none" w:sz="0" w:space="0" w:color="auto"/>
        <w:left w:val="none" w:sz="0" w:space="0" w:color="auto"/>
        <w:bottom w:val="none" w:sz="0" w:space="0" w:color="auto"/>
        <w:right w:val="none" w:sz="0" w:space="0" w:color="auto"/>
      </w:divBdr>
    </w:div>
    <w:div w:id="623583994">
      <w:bodyDiv w:val="1"/>
      <w:marLeft w:val="0"/>
      <w:marRight w:val="0"/>
      <w:marTop w:val="0"/>
      <w:marBottom w:val="0"/>
      <w:divBdr>
        <w:top w:val="none" w:sz="0" w:space="0" w:color="auto"/>
        <w:left w:val="none" w:sz="0" w:space="0" w:color="auto"/>
        <w:bottom w:val="none" w:sz="0" w:space="0" w:color="auto"/>
        <w:right w:val="none" w:sz="0" w:space="0" w:color="auto"/>
      </w:divBdr>
    </w:div>
    <w:div w:id="855000207">
      <w:bodyDiv w:val="1"/>
      <w:marLeft w:val="0"/>
      <w:marRight w:val="0"/>
      <w:marTop w:val="0"/>
      <w:marBottom w:val="0"/>
      <w:divBdr>
        <w:top w:val="none" w:sz="0" w:space="0" w:color="auto"/>
        <w:left w:val="none" w:sz="0" w:space="0" w:color="auto"/>
        <w:bottom w:val="none" w:sz="0" w:space="0" w:color="auto"/>
        <w:right w:val="none" w:sz="0" w:space="0" w:color="auto"/>
      </w:divBdr>
      <w:divsChild>
        <w:div w:id="692997207">
          <w:marLeft w:val="0"/>
          <w:marRight w:val="0"/>
          <w:marTop w:val="0"/>
          <w:marBottom w:val="0"/>
          <w:divBdr>
            <w:top w:val="none" w:sz="0" w:space="0" w:color="auto"/>
            <w:left w:val="none" w:sz="0" w:space="0" w:color="auto"/>
            <w:bottom w:val="none" w:sz="0" w:space="0" w:color="auto"/>
            <w:right w:val="none" w:sz="0" w:space="0" w:color="auto"/>
          </w:divBdr>
        </w:div>
        <w:div w:id="1034159199">
          <w:marLeft w:val="0"/>
          <w:marRight w:val="0"/>
          <w:marTop w:val="0"/>
          <w:marBottom w:val="0"/>
          <w:divBdr>
            <w:top w:val="none" w:sz="0" w:space="0" w:color="auto"/>
            <w:left w:val="none" w:sz="0" w:space="0" w:color="auto"/>
            <w:bottom w:val="none" w:sz="0" w:space="0" w:color="auto"/>
            <w:right w:val="none" w:sz="0" w:space="0" w:color="auto"/>
          </w:divBdr>
        </w:div>
        <w:div w:id="1460610492">
          <w:marLeft w:val="0"/>
          <w:marRight w:val="0"/>
          <w:marTop w:val="0"/>
          <w:marBottom w:val="0"/>
          <w:divBdr>
            <w:top w:val="none" w:sz="0" w:space="0" w:color="auto"/>
            <w:left w:val="none" w:sz="0" w:space="0" w:color="auto"/>
            <w:bottom w:val="none" w:sz="0" w:space="0" w:color="auto"/>
            <w:right w:val="none" w:sz="0" w:space="0" w:color="auto"/>
          </w:divBdr>
        </w:div>
        <w:div w:id="1597134772">
          <w:marLeft w:val="0"/>
          <w:marRight w:val="0"/>
          <w:marTop w:val="0"/>
          <w:marBottom w:val="0"/>
          <w:divBdr>
            <w:top w:val="none" w:sz="0" w:space="0" w:color="auto"/>
            <w:left w:val="none" w:sz="0" w:space="0" w:color="auto"/>
            <w:bottom w:val="none" w:sz="0" w:space="0" w:color="auto"/>
            <w:right w:val="none" w:sz="0" w:space="0" w:color="auto"/>
          </w:divBdr>
        </w:div>
      </w:divsChild>
    </w:div>
    <w:div w:id="967124934">
      <w:bodyDiv w:val="1"/>
      <w:marLeft w:val="0"/>
      <w:marRight w:val="0"/>
      <w:marTop w:val="0"/>
      <w:marBottom w:val="0"/>
      <w:divBdr>
        <w:top w:val="none" w:sz="0" w:space="0" w:color="auto"/>
        <w:left w:val="none" w:sz="0" w:space="0" w:color="auto"/>
        <w:bottom w:val="none" w:sz="0" w:space="0" w:color="auto"/>
        <w:right w:val="none" w:sz="0" w:space="0" w:color="auto"/>
      </w:divBdr>
    </w:div>
    <w:div w:id="1002198033">
      <w:bodyDiv w:val="1"/>
      <w:marLeft w:val="0"/>
      <w:marRight w:val="0"/>
      <w:marTop w:val="0"/>
      <w:marBottom w:val="0"/>
      <w:divBdr>
        <w:top w:val="none" w:sz="0" w:space="0" w:color="auto"/>
        <w:left w:val="none" w:sz="0" w:space="0" w:color="auto"/>
        <w:bottom w:val="none" w:sz="0" w:space="0" w:color="auto"/>
        <w:right w:val="none" w:sz="0" w:space="0" w:color="auto"/>
      </w:divBdr>
    </w:div>
    <w:div w:id="1067612911">
      <w:bodyDiv w:val="1"/>
      <w:marLeft w:val="0"/>
      <w:marRight w:val="0"/>
      <w:marTop w:val="0"/>
      <w:marBottom w:val="0"/>
      <w:divBdr>
        <w:top w:val="none" w:sz="0" w:space="0" w:color="auto"/>
        <w:left w:val="none" w:sz="0" w:space="0" w:color="auto"/>
        <w:bottom w:val="none" w:sz="0" w:space="0" w:color="auto"/>
        <w:right w:val="none" w:sz="0" w:space="0" w:color="auto"/>
      </w:divBdr>
    </w:div>
    <w:div w:id="1075274593">
      <w:bodyDiv w:val="1"/>
      <w:marLeft w:val="0"/>
      <w:marRight w:val="0"/>
      <w:marTop w:val="0"/>
      <w:marBottom w:val="0"/>
      <w:divBdr>
        <w:top w:val="none" w:sz="0" w:space="0" w:color="auto"/>
        <w:left w:val="none" w:sz="0" w:space="0" w:color="auto"/>
        <w:bottom w:val="none" w:sz="0" w:space="0" w:color="auto"/>
        <w:right w:val="none" w:sz="0" w:space="0" w:color="auto"/>
      </w:divBdr>
    </w:div>
    <w:div w:id="1123109816">
      <w:bodyDiv w:val="1"/>
      <w:marLeft w:val="0"/>
      <w:marRight w:val="0"/>
      <w:marTop w:val="0"/>
      <w:marBottom w:val="0"/>
      <w:divBdr>
        <w:top w:val="none" w:sz="0" w:space="0" w:color="auto"/>
        <w:left w:val="none" w:sz="0" w:space="0" w:color="auto"/>
        <w:bottom w:val="none" w:sz="0" w:space="0" w:color="auto"/>
        <w:right w:val="none" w:sz="0" w:space="0" w:color="auto"/>
      </w:divBdr>
    </w:div>
    <w:div w:id="1141772448">
      <w:bodyDiv w:val="1"/>
      <w:marLeft w:val="0"/>
      <w:marRight w:val="0"/>
      <w:marTop w:val="0"/>
      <w:marBottom w:val="0"/>
      <w:divBdr>
        <w:top w:val="none" w:sz="0" w:space="0" w:color="auto"/>
        <w:left w:val="none" w:sz="0" w:space="0" w:color="auto"/>
        <w:bottom w:val="none" w:sz="0" w:space="0" w:color="auto"/>
        <w:right w:val="none" w:sz="0" w:space="0" w:color="auto"/>
      </w:divBdr>
    </w:div>
    <w:div w:id="1160660815">
      <w:bodyDiv w:val="1"/>
      <w:marLeft w:val="0"/>
      <w:marRight w:val="0"/>
      <w:marTop w:val="0"/>
      <w:marBottom w:val="0"/>
      <w:divBdr>
        <w:top w:val="none" w:sz="0" w:space="0" w:color="auto"/>
        <w:left w:val="none" w:sz="0" w:space="0" w:color="auto"/>
        <w:bottom w:val="none" w:sz="0" w:space="0" w:color="auto"/>
        <w:right w:val="none" w:sz="0" w:space="0" w:color="auto"/>
      </w:divBdr>
    </w:div>
    <w:div w:id="1170559901">
      <w:bodyDiv w:val="1"/>
      <w:marLeft w:val="0"/>
      <w:marRight w:val="0"/>
      <w:marTop w:val="0"/>
      <w:marBottom w:val="0"/>
      <w:divBdr>
        <w:top w:val="none" w:sz="0" w:space="0" w:color="auto"/>
        <w:left w:val="none" w:sz="0" w:space="0" w:color="auto"/>
        <w:bottom w:val="none" w:sz="0" w:space="0" w:color="auto"/>
        <w:right w:val="none" w:sz="0" w:space="0" w:color="auto"/>
      </w:divBdr>
    </w:div>
    <w:div w:id="1178617559">
      <w:bodyDiv w:val="1"/>
      <w:marLeft w:val="0"/>
      <w:marRight w:val="0"/>
      <w:marTop w:val="0"/>
      <w:marBottom w:val="0"/>
      <w:divBdr>
        <w:top w:val="none" w:sz="0" w:space="0" w:color="auto"/>
        <w:left w:val="none" w:sz="0" w:space="0" w:color="auto"/>
        <w:bottom w:val="none" w:sz="0" w:space="0" w:color="auto"/>
        <w:right w:val="none" w:sz="0" w:space="0" w:color="auto"/>
      </w:divBdr>
    </w:div>
    <w:div w:id="1212036928">
      <w:bodyDiv w:val="1"/>
      <w:marLeft w:val="0"/>
      <w:marRight w:val="0"/>
      <w:marTop w:val="0"/>
      <w:marBottom w:val="0"/>
      <w:divBdr>
        <w:top w:val="none" w:sz="0" w:space="0" w:color="auto"/>
        <w:left w:val="none" w:sz="0" w:space="0" w:color="auto"/>
        <w:bottom w:val="none" w:sz="0" w:space="0" w:color="auto"/>
        <w:right w:val="none" w:sz="0" w:space="0" w:color="auto"/>
      </w:divBdr>
    </w:div>
    <w:div w:id="1287470484">
      <w:bodyDiv w:val="1"/>
      <w:marLeft w:val="0"/>
      <w:marRight w:val="0"/>
      <w:marTop w:val="0"/>
      <w:marBottom w:val="0"/>
      <w:divBdr>
        <w:top w:val="none" w:sz="0" w:space="0" w:color="auto"/>
        <w:left w:val="none" w:sz="0" w:space="0" w:color="auto"/>
        <w:bottom w:val="none" w:sz="0" w:space="0" w:color="auto"/>
        <w:right w:val="none" w:sz="0" w:space="0" w:color="auto"/>
      </w:divBdr>
    </w:div>
    <w:div w:id="1378357830">
      <w:bodyDiv w:val="1"/>
      <w:marLeft w:val="0"/>
      <w:marRight w:val="0"/>
      <w:marTop w:val="0"/>
      <w:marBottom w:val="0"/>
      <w:divBdr>
        <w:top w:val="none" w:sz="0" w:space="0" w:color="auto"/>
        <w:left w:val="none" w:sz="0" w:space="0" w:color="auto"/>
        <w:bottom w:val="none" w:sz="0" w:space="0" w:color="auto"/>
        <w:right w:val="none" w:sz="0" w:space="0" w:color="auto"/>
      </w:divBdr>
    </w:div>
    <w:div w:id="1393191710">
      <w:bodyDiv w:val="1"/>
      <w:marLeft w:val="0"/>
      <w:marRight w:val="0"/>
      <w:marTop w:val="0"/>
      <w:marBottom w:val="0"/>
      <w:divBdr>
        <w:top w:val="none" w:sz="0" w:space="0" w:color="auto"/>
        <w:left w:val="none" w:sz="0" w:space="0" w:color="auto"/>
        <w:bottom w:val="none" w:sz="0" w:space="0" w:color="auto"/>
        <w:right w:val="none" w:sz="0" w:space="0" w:color="auto"/>
      </w:divBdr>
    </w:div>
    <w:div w:id="1451243402">
      <w:bodyDiv w:val="1"/>
      <w:marLeft w:val="0"/>
      <w:marRight w:val="0"/>
      <w:marTop w:val="0"/>
      <w:marBottom w:val="0"/>
      <w:divBdr>
        <w:top w:val="none" w:sz="0" w:space="0" w:color="auto"/>
        <w:left w:val="none" w:sz="0" w:space="0" w:color="auto"/>
        <w:bottom w:val="none" w:sz="0" w:space="0" w:color="auto"/>
        <w:right w:val="none" w:sz="0" w:space="0" w:color="auto"/>
      </w:divBdr>
      <w:divsChild>
        <w:div w:id="857736075">
          <w:marLeft w:val="0"/>
          <w:marRight w:val="0"/>
          <w:marTop w:val="0"/>
          <w:marBottom w:val="0"/>
          <w:divBdr>
            <w:top w:val="none" w:sz="0" w:space="0" w:color="auto"/>
            <w:left w:val="none" w:sz="0" w:space="0" w:color="auto"/>
            <w:bottom w:val="none" w:sz="0" w:space="0" w:color="auto"/>
            <w:right w:val="none" w:sz="0" w:space="0" w:color="auto"/>
          </w:divBdr>
        </w:div>
        <w:div w:id="1914195740">
          <w:marLeft w:val="0"/>
          <w:marRight w:val="0"/>
          <w:marTop w:val="0"/>
          <w:marBottom w:val="0"/>
          <w:divBdr>
            <w:top w:val="none" w:sz="0" w:space="0" w:color="auto"/>
            <w:left w:val="none" w:sz="0" w:space="0" w:color="auto"/>
            <w:bottom w:val="none" w:sz="0" w:space="0" w:color="auto"/>
            <w:right w:val="none" w:sz="0" w:space="0" w:color="auto"/>
          </w:divBdr>
        </w:div>
        <w:div w:id="1960992360">
          <w:marLeft w:val="0"/>
          <w:marRight w:val="0"/>
          <w:marTop w:val="0"/>
          <w:marBottom w:val="0"/>
          <w:divBdr>
            <w:top w:val="none" w:sz="0" w:space="0" w:color="auto"/>
            <w:left w:val="none" w:sz="0" w:space="0" w:color="auto"/>
            <w:bottom w:val="none" w:sz="0" w:space="0" w:color="auto"/>
            <w:right w:val="none" w:sz="0" w:space="0" w:color="auto"/>
          </w:divBdr>
        </w:div>
      </w:divsChild>
    </w:div>
    <w:div w:id="1484128384">
      <w:bodyDiv w:val="1"/>
      <w:marLeft w:val="0"/>
      <w:marRight w:val="0"/>
      <w:marTop w:val="0"/>
      <w:marBottom w:val="0"/>
      <w:divBdr>
        <w:top w:val="none" w:sz="0" w:space="0" w:color="auto"/>
        <w:left w:val="none" w:sz="0" w:space="0" w:color="auto"/>
        <w:bottom w:val="none" w:sz="0" w:space="0" w:color="auto"/>
        <w:right w:val="none" w:sz="0" w:space="0" w:color="auto"/>
      </w:divBdr>
    </w:div>
    <w:div w:id="1558853743">
      <w:bodyDiv w:val="1"/>
      <w:marLeft w:val="0"/>
      <w:marRight w:val="0"/>
      <w:marTop w:val="0"/>
      <w:marBottom w:val="0"/>
      <w:divBdr>
        <w:top w:val="none" w:sz="0" w:space="0" w:color="auto"/>
        <w:left w:val="none" w:sz="0" w:space="0" w:color="auto"/>
        <w:bottom w:val="none" w:sz="0" w:space="0" w:color="auto"/>
        <w:right w:val="none" w:sz="0" w:space="0" w:color="auto"/>
      </w:divBdr>
    </w:div>
    <w:div w:id="1621448930">
      <w:bodyDiv w:val="1"/>
      <w:marLeft w:val="0"/>
      <w:marRight w:val="0"/>
      <w:marTop w:val="0"/>
      <w:marBottom w:val="0"/>
      <w:divBdr>
        <w:top w:val="none" w:sz="0" w:space="0" w:color="auto"/>
        <w:left w:val="none" w:sz="0" w:space="0" w:color="auto"/>
        <w:bottom w:val="none" w:sz="0" w:space="0" w:color="auto"/>
        <w:right w:val="none" w:sz="0" w:space="0" w:color="auto"/>
      </w:divBdr>
      <w:divsChild>
        <w:div w:id="29456438">
          <w:marLeft w:val="0"/>
          <w:marRight w:val="0"/>
          <w:marTop w:val="0"/>
          <w:marBottom w:val="0"/>
          <w:divBdr>
            <w:top w:val="none" w:sz="0" w:space="0" w:color="auto"/>
            <w:left w:val="none" w:sz="0" w:space="0" w:color="auto"/>
            <w:bottom w:val="none" w:sz="0" w:space="0" w:color="auto"/>
            <w:right w:val="none" w:sz="0" w:space="0" w:color="auto"/>
          </w:divBdr>
        </w:div>
        <w:div w:id="126247382">
          <w:marLeft w:val="0"/>
          <w:marRight w:val="0"/>
          <w:marTop w:val="0"/>
          <w:marBottom w:val="0"/>
          <w:divBdr>
            <w:top w:val="none" w:sz="0" w:space="0" w:color="auto"/>
            <w:left w:val="none" w:sz="0" w:space="0" w:color="auto"/>
            <w:bottom w:val="none" w:sz="0" w:space="0" w:color="auto"/>
            <w:right w:val="none" w:sz="0" w:space="0" w:color="auto"/>
          </w:divBdr>
        </w:div>
        <w:div w:id="230383835">
          <w:marLeft w:val="0"/>
          <w:marRight w:val="0"/>
          <w:marTop w:val="0"/>
          <w:marBottom w:val="0"/>
          <w:divBdr>
            <w:top w:val="none" w:sz="0" w:space="0" w:color="auto"/>
            <w:left w:val="none" w:sz="0" w:space="0" w:color="auto"/>
            <w:bottom w:val="none" w:sz="0" w:space="0" w:color="auto"/>
            <w:right w:val="none" w:sz="0" w:space="0" w:color="auto"/>
          </w:divBdr>
        </w:div>
        <w:div w:id="313264961">
          <w:marLeft w:val="0"/>
          <w:marRight w:val="0"/>
          <w:marTop w:val="0"/>
          <w:marBottom w:val="0"/>
          <w:divBdr>
            <w:top w:val="none" w:sz="0" w:space="0" w:color="auto"/>
            <w:left w:val="none" w:sz="0" w:space="0" w:color="auto"/>
            <w:bottom w:val="none" w:sz="0" w:space="0" w:color="auto"/>
            <w:right w:val="none" w:sz="0" w:space="0" w:color="auto"/>
          </w:divBdr>
        </w:div>
        <w:div w:id="519052818">
          <w:marLeft w:val="0"/>
          <w:marRight w:val="0"/>
          <w:marTop w:val="0"/>
          <w:marBottom w:val="0"/>
          <w:divBdr>
            <w:top w:val="none" w:sz="0" w:space="0" w:color="auto"/>
            <w:left w:val="none" w:sz="0" w:space="0" w:color="auto"/>
            <w:bottom w:val="none" w:sz="0" w:space="0" w:color="auto"/>
            <w:right w:val="none" w:sz="0" w:space="0" w:color="auto"/>
          </w:divBdr>
        </w:div>
        <w:div w:id="1063718888">
          <w:marLeft w:val="0"/>
          <w:marRight w:val="0"/>
          <w:marTop w:val="0"/>
          <w:marBottom w:val="0"/>
          <w:divBdr>
            <w:top w:val="none" w:sz="0" w:space="0" w:color="auto"/>
            <w:left w:val="none" w:sz="0" w:space="0" w:color="auto"/>
            <w:bottom w:val="none" w:sz="0" w:space="0" w:color="auto"/>
            <w:right w:val="none" w:sz="0" w:space="0" w:color="auto"/>
          </w:divBdr>
        </w:div>
        <w:div w:id="1531794627">
          <w:marLeft w:val="0"/>
          <w:marRight w:val="0"/>
          <w:marTop w:val="0"/>
          <w:marBottom w:val="0"/>
          <w:divBdr>
            <w:top w:val="none" w:sz="0" w:space="0" w:color="auto"/>
            <w:left w:val="none" w:sz="0" w:space="0" w:color="auto"/>
            <w:bottom w:val="none" w:sz="0" w:space="0" w:color="auto"/>
            <w:right w:val="none" w:sz="0" w:space="0" w:color="auto"/>
          </w:divBdr>
        </w:div>
        <w:div w:id="1841116459">
          <w:marLeft w:val="0"/>
          <w:marRight w:val="0"/>
          <w:marTop w:val="0"/>
          <w:marBottom w:val="0"/>
          <w:divBdr>
            <w:top w:val="none" w:sz="0" w:space="0" w:color="auto"/>
            <w:left w:val="none" w:sz="0" w:space="0" w:color="auto"/>
            <w:bottom w:val="none" w:sz="0" w:space="0" w:color="auto"/>
            <w:right w:val="none" w:sz="0" w:space="0" w:color="auto"/>
          </w:divBdr>
        </w:div>
        <w:div w:id="2045981716">
          <w:marLeft w:val="0"/>
          <w:marRight w:val="0"/>
          <w:marTop w:val="0"/>
          <w:marBottom w:val="0"/>
          <w:divBdr>
            <w:top w:val="none" w:sz="0" w:space="0" w:color="auto"/>
            <w:left w:val="none" w:sz="0" w:space="0" w:color="auto"/>
            <w:bottom w:val="none" w:sz="0" w:space="0" w:color="auto"/>
            <w:right w:val="none" w:sz="0" w:space="0" w:color="auto"/>
          </w:divBdr>
        </w:div>
      </w:divsChild>
    </w:div>
    <w:div w:id="1631279760">
      <w:bodyDiv w:val="1"/>
      <w:marLeft w:val="0"/>
      <w:marRight w:val="0"/>
      <w:marTop w:val="0"/>
      <w:marBottom w:val="0"/>
      <w:divBdr>
        <w:top w:val="none" w:sz="0" w:space="0" w:color="auto"/>
        <w:left w:val="none" w:sz="0" w:space="0" w:color="auto"/>
        <w:bottom w:val="none" w:sz="0" w:space="0" w:color="auto"/>
        <w:right w:val="none" w:sz="0" w:space="0" w:color="auto"/>
      </w:divBdr>
    </w:div>
    <w:div w:id="1639148303">
      <w:bodyDiv w:val="1"/>
      <w:marLeft w:val="0"/>
      <w:marRight w:val="0"/>
      <w:marTop w:val="0"/>
      <w:marBottom w:val="0"/>
      <w:divBdr>
        <w:top w:val="none" w:sz="0" w:space="0" w:color="auto"/>
        <w:left w:val="none" w:sz="0" w:space="0" w:color="auto"/>
        <w:bottom w:val="none" w:sz="0" w:space="0" w:color="auto"/>
        <w:right w:val="none" w:sz="0" w:space="0" w:color="auto"/>
      </w:divBdr>
    </w:div>
    <w:div w:id="1701928267">
      <w:bodyDiv w:val="1"/>
      <w:marLeft w:val="0"/>
      <w:marRight w:val="0"/>
      <w:marTop w:val="0"/>
      <w:marBottom w:val="0"/>
      <w:divBdr>
        <w:top w:val="none" w:sz="0" w:space="0" w:color="auto"/>
        <w:left w:val="none" w:sz="0" w:space="0" w:color="auto"/>
        <w:bottom w:val="none" w:sz="0" w:space="0" w:color="auto"/>
        <w:right w:val="none" w:sz="0" w:space="0" w:color="auto"/>
      </w:divBdr>
    </w:div>
    <w:div w:id="1766926309">
      <w:bodyDiv w:val="1"/>
      <w:marLeft w:val="0"/>
      <w:marRight w:val="0"/>
      <w:marTop w:val="0"/>
      <w:marBottom w:val="0"/>
      <w:divBdr>
        <w:top w:val="none" w:sz="0" w:space="0" w:color="auto"/>
        <w:left w:val="none" w:sz="0" w:space="0" w:color="auto"/>
        <w:bottom w:val="none" w:sz="0" w:space="0" w:color="auto"/>
        <w:right w:val="none" w:sz="0" w:space="0" w:color="auto"/>
      </w:divBdr>
    </w:div>
    <w:div w:id="1778208415">
      <w:bodyDiv w:val="1"/>
      <w:marLeft w:val="0"/>
      <w:marRight w:val="0"/>
      <w:marTop w:val="0"/>
      <w:marBottom w:val="0"/>
      <w:divBdr>
        <w:top w:val="none" w:sz="0" w:space="0" w:color="auto"/>
        <w:left w:val="none" w:sz="0" w:space="0" w:color="auto"/>
        <w:bottom w:val="none" w:sz="0" w:space="0" w:color="auto"/>
        <w:right w:val="none" w:sz="0" w:space="0" w:color="auto"/>
      </w:divBdr>
    </w:div>
    <w:div w:id="1838229462">
      <w:bodyDiv w:val="1"/>
      <w:marLeft w:val="0"/>
      <w:marRight w:val="0"/>
      <w:marTop w:val="0"/>
      <w:marBottom w:val="0"/>
      <w:divBdr>
        <w:top w:val="none" w:sz="0" w:space="0" w:color="auto"/>
        <w:left w:val="none" w:sz="0" w:space="0" w:color="auto"/>
        <w:bottom w:val="none" w:sz="0" w:space="0" w:color="auto"/>
        <w:right w:val="none" w:sz="0" w:space="0" w:color="auto"/>
      </w:divBdr>
    </w:div>
    <w:div w:id="1994872082">
      <w:bodyDiv w:val="1"/>
      <w:marLeft w:val="0"/>
      <w:marRight w:val="0"/>
      <w:marTop w:val="0"/>
      <w:marBottom w:val="0"/>
      <w:divBdr>
        <w:top w:val="none" w:sz="0" w:space="0" w:color="auto"/>
        <w:left w:val="none" w:sz="0" w:space="0" w:color="auto"/>
        <w:bottom w:val="none" w:sz="0" w:space="0" w:color="auto"/>
        <w:right w:val="none" w:sz="0" w:space="0" w:color="auto"/>
      </w:divBdr>
    </w:div>
    <w:div w:id="2045330438">
      <w:bodyDiv w:val="1"/>
      <w:marLeft w:val="0"/>
      <w:marRight w:val="0"/>
      <w:marTop w:val="0"/>
      <w:marBottom w:val="0"/>
      <w:divBdr>
        <w:top w:val="none" w:sz="0" w:space="0" w:color="auto"/>
        <w:left w:val="none" w:sz="0" w:space="0" w:color="auto"/>
        <w:bottom w:val="none" w:sz="0" w:space="0" w:color="auto"/>
        <w:right w:val="none" w:sz="0" w:space="0" w:color="auto"/>
      </w:divBdr>
    </w:div>
    <w:div w:id="2046127270">
      <w:bodyDiv w:val="1"/>
      <w:marLeft w:val="0"/>
      <w:marRight w:val="0"/>
      <w:marTop w:val="0"/>
      <w:marBottom w:val="0"/>
      <w:divBdr>
        <w:top w:val="none" w:sz="0" w:space="0" w:color="auto"/>
        <w:left w:val="none" w:sz="0" w:space="0" w:color="auto"/>
        <w:bottom w:val="none" w:sz="0" w:space="0" w:color="auto"/>
        <w:right w:val="none" w:sz="0" w:space="0" w:color="auto"/>
      </w:divBdr>
      <w:divsChild>
        <w:div w:id="144859352">
          <w:marLeft w:val="0"/>
          <w:marRight w:val="0"/>
          <w:marTop w:val="0"/>
          <w:marBottom w:val="0"/>
          <w:divBdr>
            <w:top w:val="none" w:sz="0" w:space="0" w:color="auto"/>
            <w:left w:val="none" w:sz="0" w:space="0" w:color="auto"/>
            <w:bottom w:val="none" w:sz="0" w:space="0" w:color="auto"/>
            <w:right w:val="none" w:sz="0" w:space="0" w:color="auto"/>
          </w:divBdr>
          <w:divsChild>
            <w:div w:id="93940073">
              <w:marLeft w:val="0"/>
              <w:marRight w:val="0"/>
              <w:marTop w:val="0"/>
              <w:marBottom w:val="0"/>
              <w:divBdr>
                <w:top w:val="none" w:sz="0" w:space="0" w:color="auto"/>
                <w:left w:val="none" w:sz="0" w:space="0" w:color="auto"/>
                <w:bottom w:val="none" w:sz="0" w:space="0" w:color="auto"/>
                <w:right w:val="none" w:sz="0" w:space="0" w:color="auto"/>
              </w:divBdr>
            </w:div>
            <w:div w:id="101344158">
              <w:marLeft w:val="0"/>
              <w:marRight w:val="0"/>
              <w:marTop w:val="0"/>
              <w:marBottom w:val="0"/>
              <w:divBdr>
                <w:top w:val="none" w:sz="0" w:space="0" w:color="auto"/>
                <w:left w:val="none" w:sz="0" w:space="0" w:color="auto"/>
                <w:bottom w:val="none" w:sz="0" w:space="0" w:color="auto"/>
                <w:right w:val="none" w:sz="0" w:space="0" w:color="auto"/>
              </w:divBdr>
            </w:div>
            <w:div w:id="328875702">
              <w:marLeft w:val="0"/>
              <w:marRight w:val="0"/>
              <w:marTop w:val="0"/>
              <w:marBottom w:val="0"/>
              <w:divBdr>
                <w:top w:val="none" w:sz="0" w:space="0" w:color="auto"/>
                <w:left w:val="none" w:sz="0" w:space="0" w:color="auto"/>
                <w:bottom w:val="none" w:sz="0" w:space="0" w:color="auto"/>
                <w:right w:val="none" w:sz="0" w:space="0" w:color="auto"/>
              </w:divBdr>
            </w:div>
            <w:div w:id="455490105">
              <w:marLeft w:val="0"/>
              <w:marRight w:val="0"/>
              <w:marTop w:val="0"/>
              <w:marBottom w:val="0"/>
              <w:divBdr>
                <w:top w:val="none" w:sz="0" w:space="0" w:color="auto"/>
                <w:left w:val="none" w:sz="0" w:space="0" w:color="auto"/>
                <w:bottom w:val="none" w:sz="0" w:space="0" w:color="auto"/>
                <w:right w:val="none" w:sz="0" w:space="0" w:color="auto"/>
              </w:divBdr>
            </w:div>
            <w:div w:id="551817977">
              <w:marLeft w:val="0"/>
              <w:marRight w:val="0"/>
              <w:marTop w:val="0"/>
              <w:marBottom w:val="0"/>
              <w:divBdr>
                <w:top w:val="none" w:sz="0" w:space="0" w:color="auto"/>
                <w:left w:val="none" w:sz="0" w:space="0" w:color="auto"/>
                <w:bottom w:val="none" w:sz="0" w:space="0" w:color="auto"/>
                <w:right w:val="none" w:sz="0" w:space="0" w:color="auto"/>
              </w:divBdr>
            </w:div>
            <w:div w:id="751514007">
              <w:marLeft w:val="0"/>
              <w:marRight w:val="0"/>
              <w:marTop w:val="0"/>
              <w:marBottom w:val="0"/>
              <w:divBdr>
                <w:top w:val="none" w:sz="0" w:space="0" w:color="auto"/>
                <w:left w:val="none" w:sz="0" w:space="0" w:color="auto"/>
                <w:bottom w:val="none" w:sz="0" w:space="0" w:color="auto"/>
                <w:right w:val="none" w:sz="0" w:space="0" w:color="auto"/>
              </w:divBdr>
            </w:div>
            <w:div w:id="961761795">
              <w:marLeft w:val="0"/>
              <w:marRight w:val="0"/>
              <w:marTop w:val="0"/>
              <w:marBottom w:val="0"/>
              <w:divBdr>
                <w:top w:val="none" w:sz="0" w:space="0" w:color="auto"/>
                <w:left w:val="none" w:sz="0" w:space="0" w:color="auto"/>
                <w:bottom w:val="none" w:sz="0" w:space="0" w:color="auto"/>
                <w:right w:val="none" w:sz="0" w:space="0" w:color="auto"/>
              </w:divBdr>
            </w:div>
            <w:div w:id="963149120">
              <w:marLeft w:val="0"/>
              <w:marRight w:val="0"/>
              <w:marTop w:val="0"/>
              <w:marBottom w:val="0"/>
              <w:divBdr>
                <w:top w:val="none" w:sz="0" w:space="0" w:color="auto"/>
                <w:left w:val="none" w:sz="0" w:space="0" w:color="auto"/>
                <w:bottom w:val="none" w:sz="0" w:space="0" w:color="auto"/>
                <w:right w:val="none" w:sz="0" w:space="0" w:color="auto"/>
              </w:divBdr>
            </w:div>
            <w:div w:id="1267038882">
              <w:marLeft w:val="0"/>
              <w:marRight w:val="0"/>
              <w:marTop w:val="0"/>
              <w:marBottom w:val="0"/>
              <w:divBdr>
                <w:top w:val="none" w:sz="0" w:space="0" w:color="auto"/>
                <w:left w:val="none" w:sz="0" w:space="0" w:color="auto"/>
                <w:bottom w:val="none" w:sz="0" w:space="0" w:color="auto"/>
                <w:right w:val="none" w:sz="0" w:space="0" w:color="auto"/>
              </w:divBdr>
            </w:div>
            <w:div w:id="1282999723">
              <w:marLeft w:val="0"/>
              <w:marRight w:val="0"/>
              <w:marTop w:val="0"/>
              <w:marBottom w:val="0"/>
              <w:divBdr>
                <w:top w:val="none" w:sz="0" w:space="0" w:color="auto"/>
                <w:left w:val="none" w:sz="0" w:space="0" w:color="auto"/>
                <w:bottom w:val="none" w:sz="0" w:space="0" w:color="auto"/>
                <w:right w:val="none" w:sz="0" w:space="0" w:color="auto"/>
              </w:divBdr>
            </w:div>
            <w:div w:id="1349675649">
              <w:marLeft w:val="0"/>
              <w:marRight w:val="0"/>
              <w:marTop w:val="0"/>
              <w:marBottom w:val="0"/>
              <w:divBdr>
                <w:top w:val="none" w:sz="0" w:space="0" w:color="auto"/>
                <w:left w:val="none" w:sz="0" w:space="0" w:color="auto"/>
                <w:bottom w:val="none" w:sz="0" w:space="0" w:color="auto"/>
                <w:right w:val="none" w:sz="0" w:space="0" w:color="auto"/>
              </w:divBdr>
            </w:div>
            <w:div w:id="1420100330">
              <w:marLeft w:val="0"/>
              <w:marRight w:val="0"/>
              <w:marTop w:val="0"/>
              <w:marBottom w:val="0"/>
              <w:divBdr>
                <w:top w:val="none" w:sz="0" w:space="0" w:color="auto"/>
                <w:left w:val="none" w:sz="0" w:space="0" w:color="auto"/>
                <w:bottom w:val="none" w:sz="0" w:space="0" w:color="auto"/>
                <w:right w:val="none" w:sz="0" w:space="0" w:color="auto"/>
              </w:divBdr>
            </w:div>
            <w:div w:id="1485661512">
              <w:marLeft w:val="0"/>
              <w:marRight w:val="0"/>
              <w:marTop w:val="0"/>
              <w:marBottom w:val="0"/>
              <w:divBdr>
                <w:top w:val="none" w:sz="0" w:space="0" w:color="auto"/>
                <w:left w:val="none" w:sz="0" w:space="0" w:color="auto"/>
                <w:bottom w:val="none" w:sz="0" w:space="0" w:color="auto"/>
                <w:right w:val="none" w:sz="0" w:space="0" w:color="auto"/>
              </w:divBdr>
            </w:div>
            <w:div w:id="1585994815">
              <w:marLeft w:val="0"/>
              <w:marRight w:val="0"/>
              <w:marTop w:val="0"/>
              <w:marBottom w:val="0"/>
              <w:divBdr>
                <w:top w:val="none" w:sz="0" w:space="0" w:color="auto"/>
                <w:left w:val="none" w:sz="0" w:space="0" w:color="auto"/>
                <w:bottom w:val="none" w:sz="0" w:space="0" w:color="auto"/>
                <w:right w:val="none" w:sz="0" w:space="0" w:color="auto"/>
              </w:divBdr>
            </w:div>
            <w:div w:id="1692486761">
              <w:marLeft w:val="0"/>
              <w:marRight w:val="0"/>
              <w:marTop w:val="0"/>
              <w:marBottom w:val="0"/>
              <w:divBdr>
                <w:top w:val="none" w:sz="0" w:space="0" w:color="auto"/>
                <w:left w:val="none" w:sz="0" w:space="0" w:color="auto"/>
                <w:bottom w:val="none" w:sz="0" w:space="0" w:color="auto"/>
                <w:right w:val="none" w:sz="0" w:space="0" w:color="auto"/>
              </w:divBdr>
            </w:div>
            <w:div w:id="1830051878">
              <w:marLeft w:val="0"/>
              <w:marRight w:val="0"/>
              <w:marTop w:val="0"/>
              <w:marBottom w:val="0"/>
              <w:divBdr>
                <w:top w:val="none" w:sz="0" w:space="0" w:color="auto"/>
                <w:left w:val="none" w:sz="0" w:space="0" w:color="auto"/>
                <w:bottom w:val="none" w:sz="0" w:space="0" w:color="auto"/>
                <w:right w:val="none" w:sz="0" w:space="0" w:color="auto"/>
              </w:divBdr>
            </w:div>
          </w:divsChild>
        </w:div>
        <w:div w:id="490758411">
          <w:marLeft w:val="0"/>
          <w:marRight w:val="0"/>
          <w:marTop w:val="0"/>
          <w:marBottom w:val="0"/>
          <w:divBdr>
            <w:top w:val="none" w:sz="0" w:space="0" w:color="auto"/>
            <w:left w:val="none" w:sz="0" w:space="0" w:color="auto"/>
            <w:bottom w:val="none" w:sz="0" w:space="0" w:color="auto"/>
            <w:right w:val="none" w:sz="0" w:space="0" w:color="auto"/>
          </w:divBdr>
          <w:divsChild>
            <w:div w:id="82804647">
              <w:marLeft w:val="0"/>
              <w:marRight w:val="0"/>
              <w:marTop w:val="0"/>
              <w:marBottom w:val="0"/>
              <w:divBdr>
                <w:top w:val="none" w:sz="0" w:space="0" w:color="auto"/>
                <w:left w:val="none" w:sz="0" w:space="0" w:color="auto"/>
                <w:bottom w:val="none" w:sz="0" w:space="0" w:color="auto"/>
                <w:right w:val="none" w:sz="0" w:space="0" w:color="auto"/>
              </w:divBdr>
            </w:div>
            <w:div w:id="83770429">
              <w:marLeft w:val="0"/>
              <w:marRight w:val="0"/>
              <w:marTop w:val="0"/>
              <w:marBottom w:val="0"/>
              <w:divBdr>
                <w:top w:val="none" w:sz="0" w:space="0" w:color="auto"/>
                <w:left w:val="none" w:sz="0" w:space="0" w:color="auto"/>
                <w:bottom w:val="none" w:sz="0" w:space="0" w:color="auto"/>
                <w:right w:val="none" w:sz="0" w:space="0" w:color="auto"/>
              </w:divBdr>
            </w:div>
            <w:div w:id="479419726">
              <w:marLeft w:val="0"/>
              <w:marRight w:val="0"/>
              <w:marTop w:val="0"/>
              <w:marBottom w:val="0"/>
              <w:divBdr>
                <w:top w:val="none" w:sz="0" w:space="0" w:color="auto"/>
                <w:left w:val="none" w:sz="0" w:space="0" w:color="auto"/>
                <w:bottom w:val="none" w:sz="0" w:space="0" w:color="auto"/>
                <w:right w:val="none" w:sz="0" w:space="0" w:color="auto"/>
              </w:divBdr>
            </w:div>
            <w:div w:id="553590778">
              <w:marLeft w:val="0"/>
              <w:marRight w:val="0"/>
              <w:marTop w:val="0"/>
              <w:marBottom w:val="0"/>
              <w:divBdr>
                <w:top w:val="none" w:sz="0" w:space="0" w:color="auto"/>
                <w:left w:val="none" w:sz="0" w:space="0" w:color="auto"/>
                <w:bottom w:val="none" w:sz="0" w:space="0" w:color="auto"/>
                <w:right w:val="none" w:sz="0" w:space="0" w:color="auto"/>
              </w:divBdr>
            </w:div>
            <w:div w:id="975720717">
              <w:marLeft w:val="0"/>
              <w:marRight w:val="0"/>
              <w:marTop w:val="0"/>
              <w:marBottom w:val="0"/>
              <w:divBdr>
                <w:top w:val="none" w:sz="0" w:space="0" w:color="auto"/>
                <w:left w:val="none" w:sz="0" w:space="0" w:color="auto"/>
                <w:bottom w:val="none" w:sz="0" w:space="0" w:color="auto"/>
                <w:right w:val="none" w:sz="0" w:space="0" w:color="auto"/>
              </w:divBdr>
            </w:div>
            <w:div w:id="1229877399">
              <w:marLeft w:val="0"/>
              <w:marRight w:val="0"/>
              <w:marTop w:val="0"/>
              <w:marBottom w:val="0"/>
              <w:divBdr>
                <w:top w:val="none" w:sz="0" w:space="0" w:color="auto"/>
                <w:left w:val="none" w:sz="0" w:space="0" w:color="auto"/>
                <w:bottom w:val="none" w:sz="0" w:space="0" w:color="auto"/>
                <w:right w:val="none" w:sz="0" w:space="0" w:color="auto"/>
              </w:divBdr>
            </w:div>
            <w:div w:id="1310162687">
              <w:marLeft w:val="0"/>
              <w:marRight w:val="0"/>
              <w:marTop w:val="0"/>
              <w:marBottom w:val="0"/>
              <w:divBdr>
                <w:top w:val="none" w:sz="0" w:space="0" w:color="auto"/>
                <w:left w:val="none" w:sz="0" w:space="0" w:color="auto"/>
                <w:bottom w:val="none" w:sz="0" w:space="0" w:color="auto"/>
                <w:right w:val="none" w:sz="0" w:space="0" w:color="auto"/>
              </w:divBdr>
            </w:div>
            <w:div w:id="1343513880">
              <w:marLeft w:val="0"/>
              <w:marRight w:val="0"/>
              <w:marTop w:val="0"/>
              <w:marBottom w:val="0"/>
              <w:divBdr>
                <w:top w:val="none" w:sz="0" w:space="0" w:color="auto"/>
                <w:left w:val="none" w:sz="0" w:space="0" w:color="auto"/>
                <w:bottom w:val="none" w:sz="0" w:space="0" w:color="auto"/>
                <w:right w:val="none" w:sz="0" w:space="0" w:color="auto"/>
              </w:divBdr>
            </w:div>
            <w:div w:id="18419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loyds.com/supplementalrequirements" TargetMode="External"/><Relationship Id="rId18" Type="http://schemas.openxmlformats.org/officeDocument/2006/relationships/hyperlink" Target="http://www.lmg.london" TargetMode="External"/><Relationship Id="rId3" Type="http://schemas.openxmlformats.org/officeDocument/2006/relationships/customXml" Target="../customXml/item3.xml"/><Relationship Id="rId21" Type="http://schemas.openxmlformats.org/officeDocument/2006/relationships/hyperlink" Target="https://uksprctx112strgacc.blob.core.windows.net/media-651c0e64-c1d0-4f97-90f7-883c69fe2ef2/1321a227-6fd1-4a13-aae7-889fc62f337e/Y5487%20(1).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lloyds.com/market-resources/legacy-reinsurance" TargetMode="External"/><Relationship Id="rId2" Type="http://schemas.openxmlformats.org/officeDocument/2006/relationships/customXml" Target="../customXml/item2.xml"/><Relationship Id="rId16" Type="http://schemas.openxmlformats.org/officeDocument/2006/relationships/hyperlink" Target="mailto:conduct@lloyds.com" TargetMode="External"/><Relationship Id="rId20" Type="http://schemas.openxmlformats.org/officeDocument/2006/relationships/hyperlink" Target="mailto:Service.Centre@dxc.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onduct@lloyd&#8217;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lmg.lond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loyds.com/conducting-business/underwriting/legacy-reinsurance/legacy-guidanc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DFE0789C72445B230B8249611C198" ma:contentTypeVersion="18" ma:contentTypeDescription="Create a new document." ma:contentTypeScope="" ma:versionID="16758d3a5e6dad79e12993e66c2f7bfc">
  <xsd:schema xmlns:xsd="http://www.w3.org/2001/XMLSchema" xmlns:xs="http://www.w3.org/2001/XMLSchema" xmlns:p="http://schemas.microsoft.com/office/2006/metadata/properties" xmlns:ns1="http://schemas.microsoft.com/sharepoint/v3" xmlns:ns2="de14ec6f-ceae-4acb-b820-523fee4dab9f" xmlns:ns3="022036d4-91b3-4232-8f4f-18986d0e1f99" targetNamespace="http://schemas.microsoft.com/office/2006/metadata/properties" ma:root="true" ma:fieldsID="78ba6117c4ab3329c0881b9340551599" ns1:_="" ns2:_="" ns3:_="">
    <xsd:import namespace="http://schemas.microsoft.com/sharepoint/v3"/>
    <xsd:import namespace="de14ec6f-ceae-4acb-b820-523fee4dab9f"/>
    <xsd:import namespace="022036d4-91b3-4232-8f4f-18986d0e1f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4" nillable="true" ma:displayName=""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14ec6f-ceae-4acb-b820-523fee4dab9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7d97a538-0586-42fd-a32d-d2c5a8c8405b}" ma:internalName="TaxCatchAll" ma:showField="CatchAllData" ma:web="de14ec6f-ceae-4acb-b820-523fee4dab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2036d4-91b3-4232-8f4f-18986d0e1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dlc_DocId xmlns="de14ec6f-ceae-4acb-b820-523fee4dab9f">AMKUSHC4T2PX-371749976-1059</_dlc_DocId>
    <_dlc_DocIdUrl xmlns="de14ec6f-ceae-4acb-b820-523fee4dab9f">
      <Url>https://lloydsoflondon.sharepoint.com/sites/perfm/_layouts/15/DocIdRedir.aspx?ID=AMKUSHC4T2PX-371749976-1059</Url>
      <Description>AMKUSHC4T2PX-371749976-1059</Description>
    </_dlc_DocIdUrl>
    <lcf76f155ced4ddcb4097134ff3c332f xmlns="022036d4-91b3-4232-8f4f-18986d0e1f99">
      <Terms xmlns="http://schemas.microsoft.com/office/infopath/2007/PartnerControls"/>
    </lcf76f155ced4ddcb4097134ff3c332f>
    <TaxCatchAll xmlns="de14ec6f-ceae-4acb-b820-523fee4dab9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10FF7-E22B-4CA3-B362-A5DC36E1F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14ec6f-ceae-4acb-b820-523fee4dab9f"/>
    <ds:schemaRef ds:uri="022036d4-91b3-4232-8f4f-18986d0e1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56CB8-17DB-471C-A88D-59C3DC473EA7}">
  <ds:schemaRefs>
    <ds:schemaRef ds:uri="http://schemas.microsoft.com/office/2006/metadata/properties"/>
    <ds:schemaRef ds:uri="http://schemas.microsoft.com/office/infopath/2007/PartnerControls"/>
    <ds:schemaRef ds:uri="http://schemas.microsoft.com/sharepoint/v3"/>
    <ds:schemaRef ds:uri="de14ec6f-ceae-4acb-b820-523fee4dab9f"/>
    <ds:schemaRef ds:uri="022036d4-91b3-4232-8f4f-18986d0e1f99"/>
  </ds:schemaRefs>
</ds:datastoreItem>
</file>

<file path=customXml/itemProps3.xml><?xml version="1.0" encoding="utf-8"?>
<ds:datastoreItem xmlns:ds="http://schemas.openxmlformats.org/officeDocument/2006/customXml" ds:itemID="{D407C17A-1371-4E1C-A9D4-DB8C13A43502}">
  <ds:schemaRefs>
    <ds:schemaRef ds:uri="http://schemas.openxmlformats.org/officeDocument/2006/bibliography"/>
  </ds:schemaRefs>
</ds:datastoreItem>
</file>

<file path=customXml/itemProps4.xml><?xml version="1.0" encoding="utf-8"?>
<ds:datastoreItem xmlns:ds="http://schemas.openxmlformats.org/officeDocument/2006/customXml" ds:itemID="{565C4E14-F33A-413E-97BC-B8F432924D09}">
  <ds:schemaRefs>
    <ds:schemaRef ds:uri="http://schemas.microsoft.com/sharepoint/events"/>
  </ds:schemaRefs>
</ds:datastoreItem>
</file>

<file path=customXml/itemProps5.xml><?xml version="1.0" encoding="utf-8"?>
<ds:datastoreItem xmlns:ds="http://schemas.openxmlformats.org/officeDocument/2006/customXml" ds:itemID="{0C538F8A-56E1-4B0E-AD82-C1FA4CB9466C}">
  <ds:schemaRefs>
    <ds:schemaRef ds:uri="http://schemas.microsoft.com/sharepoint/v3/contenttype/forms"/>
  </ds:schemaRefs>
</ds:datastoreItem>
</file>

<file path=docMetadata/LabelInfo.xml><?xml version="1.0" encoding="utf-8"?>
<clbl:labelList xmlns:clbl="http://schemas.microsoft.com/office/2020/mipLabelMetadata">
  <clbl:label id="{b3b4ac1b-ad46-41e5-bbef-cfcc59b99d32}" enabled="1" method="Standard" siteId="{8df4b91e-bf72-411d-9902-5ecc8f1e6c11}"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13207</Words>
  <Characters>71851</Characters>
  <Application>Microsoft Office Word</Application>
  <DocSecurity>0</DocSecurity>
  <Lines>1217</Lines>
  <Paragraphs>534</Paragraphs>
  <ScaleCrop>false</ScaleCrop>
  <Company>Lloyd's</Company>
  <LinksUpToDate>false</LinksUpToDate>
  <CharactersWithSpaces>84524</CharactersWithSpaces>
  <SharedDoc>false</SharedDoc>
  <HLinks>
    <vt:vector size="330" baseType="variant">
      <vt:variant>
        <vt:i4>6881284</vt:i4>
      </vt:variant>
      <vt:variant>
        <vt:i4>159</vt:i4>
      </vt:variant>
      <vt:variant>
        <vt:i4>0</vt:i4>
      </vt:variant>
      <vt:variant>
        <vt:i4>5</vt:i4>
      </vt:variant>
      <vt:variant>
        <vt:lpwstr>mailto:Service.Centre@dxc.com</vt:lpwstr>
      </vt:variant>
      <vt:variant>
        <vt:lpwstr/>
      </vt:variant>
      <vt:variant>
        <vt:i4>6422646</vt:i4>
      </vt:variant>
      <vt:variant>
        <vt:i4>156</vt:i4>
      </vt:variant>
      <vt:variant>
        <vt:i4>0</vt:i4>
      </vt:variant>
      <vt:variant>
        <vt:i4>5</vt:i4>
      </vt:variant>
      <vt:variant>
        <vt:lpwstr>http://www.lmg.london/</vt:lpwstr>
      </vt:variant>
      <vt:variant>
        <vt:lpwstr/>
      </vt:variant>
      <vt:variant>
        <vt:i4>6422646</vt:i4>
      </vt:variant>
      <vt:variant>
        <vt:i4>150</vt:i4>
      </vt:variant>
      <vt:variant>
        <vt:i4>0</vt:i4>
      </vt:variant>
      <vt:variant>
        <vt:i4>5</vt:i4>
      </vt:variant>
      <vt:variant>
        <vt:lpwstr>http://www.lmg.london/</vt:lpwstr>
      </vt:variant>
      <vt:variant>
        <vt:lpwstr/>
      </vt:variant>
      <vt:variant>
        <vt:i4>2687082</vt:i4>
      </vt:variant>
      <vt:variant>
        <vt:i4>147</vt:i4>
      </vt:variant>
      <vt:variant>
        <vt:i4>0</vt:i4>
      </vt:variant>
      <vt:variant>
        <vt:i4>5</vt:i4>
      </vt:variant>
      <vt:variant>
        <vt:lpwstr>https://www.lloyds.com/market-resources/legacy-reinsurance</vt:lpwstr>
      </vt:variant>
      <vt:variant>
        <vt:lpwstr/>
      </vt:variant>
      <vt:variant>
        <vt:i4>4718695</vt:i4>
      </vt:variant>
      <vt:variant>
        <vt:i4>144</vt:i4>
      </vt:variant>
      <vt:variant>
        <vt:i4>0</vt:i4>
      </vt:variant>
      <vt:variant>
        <vt:i4>5</vt:i4>
      </vt:variant>
      <vt:variant>
        <vt:lpwstr>mailto:conduct@lloyds.com</vt:lpwstr>
      </vt:variant>
      <vt:variant>
        <vt:lpwstr/>
      </vt:variant>
      <vt:variant>
        <vt:i4>7610415</vt:i4>
      </vt:variant>
      <vt:variant>
        <vt:i4>141</vt:i4>
      </vt:variant>
      <vt:variant>
        <vt:i4>0</vt:i4>
      </vt:variant>
      <vt:variant>
        <vt:i4>5</vt:i4>
      </vt:variant>
      <vt:variant>
        <vt:lpwstr>mailto:conduct@lloyd’s.com</vt:lpwstr>
      </vt:variant>
      <vt:variant>
        <vt:lpwstr/>
      </vt:variant>
      <vt:variant>
        <vt:i4>7471216</vt:i4>
      </vt:variant>
      <vt:variant>
        <vt:i4>138</vt:i4>
      </vt:variant>
      <vt:variant>
        <vt:i4>0</vt:i4>
      </vt:variant>
      <vt:variant>
        <vt:i4>5</vt:i4>
      </vt:variant>
      <vt:variant>
        <vt:lpwstr>https://www.lloyds.com/conducting-business/underwriting/legacy-reinsurance/legacy-guidance</vt:lpwstr>
      </vt:variant>
      <vt:variant>
        <vt:lpwstr/>
      </vt:variant>
      <vt:variant>
        <vt:i4>2949163</vt:i4>
      </vt:variant>
      <vt:variant>
        <vt:i4>135</vt:i4>
      </vt:variant>
      <vt:variant>
        <vt:i4>0</vt:i4>
      </vt:variant>
      <vt:variant>
        <vt:i4>5</vt:i4>
      </vt:variant>
      <vt:variant>
        <vt:lpwstr>http://www.lloyds.com/supplementalrequirements</vt:lpwstr>
      </vt:variant>
      <vt:variant>
        <vt:lpwstr/>
      </vt:variant>
      <vt:variant>
        <vt:i4>1245247</vt:i4>
      </vt:variant>
      <vt:variant>
        <vt:i4>128</vt:i4>
      </vt:variant>
      <vt:variant>
        <vt:i4>0</vt:i4>
      </vt:variant>
      <vt:variant>
        <vt:i4>5</vt:i4>
      </vt:variant>
      <vt:variant>
        <vt:lpwstr/>
      </vt:variant>
      <vt:variant>
        <vt:lpwstr>_Toc218071244</vt:lpwstr>
      </vt:variant>
      <vt:variant>
        <vt:i4>1245247</vt:i4>
      </vt:variant>
      <vt:variant>
        <vt:i4>122</vt:i4>
      </vt:variant>
      <vt:variant>
        <vt:i4>0</vt:i4>
      </vt:variant>
      <vt:variant>
        <vt:i4>5</vt:i4>
      </vt:variant>
      <vt:variant>
        <vt:lpwstr/>
      </vt:variant>
      <vt:variant>
        <vt:lpwstr>_Toc218071243</vt:lpwstr>
      </vt:variant>
      <vt:variant>
        <vt:i4>1245247</vt:i4>
      </vt:variant>
      <vt:variant>
        <vt:i4>116</vt:i4>
      </vt:variant>
      <vt:variant>
        <vt:i4>0</vt:i4>
      </vt:variant>
      <vt:variant>
        <vt:i4>5</vt:i4>
      </vt:variant>
      <vt:variant>
        <vt:lpwstr/>
      </vt:variant>
      <vt:variant>
        <vt:lpwstr>_Toc218071242</vt:lpwstr>
      </vt:variant>
      <vt:variant>
        <vt:i4>1245247</vt:i4>
      </vt:variant>
      <vt:variant>
        <vt:i4>110</vt:i4>
      </vt:variant>
      <vt:variant>
        <vt:i4>0</vt:i4>
      </vt:variant>
      <vt:variant>
        <vt:i4>5</vt:i4>
      </vt:variant>
      <vt:variant>
        <vt:lpwstr/>
      </vt:variant>
      <vt:variant>
        <vt:lpwstr>_Toc218071241</vt:lpwstr>
      </vt:variant>
      <vt:variant>
        <vt:i4>1245247</vt:i4>
      </vt:variant>
      <vt:variant>
        <vt:i4>104</vt:i4>
      </vt:variant>
      <vt:variant>
        <vt:i4>0</vt:i4>
      </vt:variant>
      <vt:variant>
        <vt:i4>5</vt:i4>
      </vt:variant>
      <vt:variant>
        <vt:lpwstr/>
      </vt:variant>
      <vt:variant>
        <vt:lpwstr>_Toc218071240</vt:lpwstr>
      </vt:variant>
      <vt:variant>
        <vt:i4>1310783</vt:i4>
      </vt:variant>
      <vt:variant>
        <vt:i4>98</vt:i4>
      </vt:variant>
      <vt:variant>
        <vt:i4>0</vt:i4>
      </vt:variant>
      <vt:variant>
        <vt:i4>5</vt:i4>
      </vt:variant>
      <vt:variant>
        <vt:lpwstr/>
      </vt:variant>
      <vt:variant>
        <vt:lpwstr>_Toc218071239</vt:lpwstr>
      </vt:variant>
      <vt:variant>
        <vt:i4>1310783</vt:i4>
      </vt:variant>
      <vt:variant>
        <vt:i4>92</vt:i4>
      </vt:variant>
      <vt:variant>
        <vt:i4>0</vt:i4>
      </vt:variant>
      <vt:variant>
        <vt:i4>5</vt:i4>
      </vt:variant>
      <vt:variant>
        <vt:lpwstr/>
      </vt:variant>
      <vt:variant>
        <vt:lpwstr>_Toc218071238</vt:lpwstr>
      </vt:variant>
      <vt:variant>
        <vt:i4>1310783</vt:i4>
      </vt:variant>
      <vt:variant>
        <vt:i4>86</vt:i4>
      </vt:variant>
      <vt:variant>
        <vt:i4>0</vt:i4>
      </vt:variant>
      <vt:variant>
        <vt:i4>5</vt:i4>
      </vt:variant>
      <vt:variant>
        <vt:lpwstr/>
      </vt:variant>
      <vt:variant>
        <vt:lpwstr>_Toc218071237</vt:lpwstr>
      </vt:variant>
      <vt:variant>
        <vt:i4>1310783</vt:i4>
      </vt:variant>
      <vt:variant>
        <vt:i4>80</vt:i4>
      </vt:variant>
      <vt:variant>
        <vt:i4>0</vt:i4>
      </vt:variant>
      <vt:variant>
        <vt:i4>5</vt:i4>
      </vt:variant>
      <vt:variant>
        <vt:lpwstr/>
      </vt:variant>
      <vt:variant>
        <vt:lpwstr>_Toc218071236</vt:lpwstr>
      </vt:variant>
      <vt:variant>
        <vt:i4>1310783</vt:i4>
      </vt:variant>
      <vt:variant>
        <vt:i4>74</vt:i4>
      </vt:variant>
      <vt:variant>
        <vt:i4>0</vt:i4>
      </vt:variant>
      <vt:variant>
        <vt:i4>5</vt:i4>
      </vt:variant>
      <vt:variant>
        <vt:lpwstr/>
      </vt:variant>
      <vt:variant>
        <vt:lpwstr>_Toc218071235</vt:lpwstr>
      </vt:variant>
      <vt:variant>
        <vt:i4>1310783</vt:i4>
      </vt:variant>
      <vt:variant>
        <vt:i4>68</vt:i4>
      </vt:variant>
      <vt:variant>
        <vt:i4>0</vt:i4>
      </vt:variant>
      <vt:variant>
        <vt:i4>5</vt:i4>
      </vt:variant>
      <vt:variant>
        <vt:lpwstr/>
      </vt:variant>
      <vt:variant>
        <vt:lpwstr>_Toc218071234</vt:lpwstr>
      </vt:variant>
      <vt:variant>
        <vt:i4>1310783</vt:i4>
      </vt:variant>
      <vt:variant>
        <vt:i4>62</vt:i4>
      </vt:variant>
      <vt:variant>
        <vt:i4>0</vt:i4>
      </vt:variant>
      <vt:variant>
        <vt:i4>5</vt:i4>
      </vt:variant>
      <vt:variant>
        <vt:lpwstr/>
      </vt:variant>
      <vt:variant>
        <vt:lpwstr>_Toc218071233</vt:lpwstr>
      </vt:variant>
      <vt:variant>
        <vt:i4>1310783</vt:i4>
      </vt:variant>
      <vt:variant>
        <vt:i4>56</vt:i4>
      </vt:variant>
      <vt:variant>
        <vt:i4>0</vt:i4>
      </vt:variant>
      <vt:variant>
        <vt:i4>5</vt:i4>
      </vt:variant>
      <vt:variant>
        <vt:lpwstr/>
      </vt:variant>
      <vt:variant>
        <vt:lpwstr>_Toc218071232</vt:lpwstr>
      </vt:variant>
      <vt:variant>
        <vt:i4>1310783</vt:i4>
      </vt:variant>
      <vt:variant>
        <vt:i4>50</vt:i4>
      </vt:variant>
      <vt:variant>
        <vt:i4>0</vt:i4>
      </vt:variant>
      <vt:variant>
        <vt:i4>5</vt:i4>
      </vt:variant>
      <vt:variant>
        <vt:lpwstr/>
      </vt:variant>
      <vt:variant>
        <vt:lpwstr>_Toc218071231</vt:lpwstr>
      </vt:variant>
      <vt:variant>
        <vt:i4>1310783</vt:i4>
      </vt:variant>
      <vt:variant>
        <vt:i4>44</vt:i4>
      </vt:variant>
      <vt:variant>
        <vt:i4>0</vt:i4>
      </vt:variant>
      <vt:variant>
        <vt:i4>5</vt:i4>
      </vt:variant>
      <vt:variant>
        <vt:lpwstr/>
      </vt:variant>
      <vt:variant>
        <vt:lpwstr>_Toc218071230</vt:lpwstr>
      </vt:variant>
      <vt:variant>
        <vt:i4>1376319</vt:i4>
      </vt:variant>
      <vt:variant>
        <vt:i4>38</vt:i4>
      </vt:variant>
      <vt:variant>
        <vt:i4>0</vt:i4>
      </vt:variant>
      <vt:variant>
        <vt:i4>5</vt:i4>
      </vt:variant>
      <vt:variant>
        <vt:lpwstr/>
      </vt:variant>
      <vt:variant>
        <vt:lpwstr>_Toc218071229</vt:lpwstr>
      </vt:variant>
      <vt:variant>
        <vt:i4>1376319</vt:i4>
      </vt:variant>
      <vt:variant>
        <vt:i4>32</vt:i4>
      </vt:variant>
      <vt:variant>
        <vt:i4>0</vt:i4>
      </vt:variant>
      <vt:variant>
        <vt:i4>5</vt:i4>
      </vt:variant>
      <vt:variant>
        <vt:lpwstr/>
      </vt:variant>
      <vt:variant>
        <vt:lpwstr>_Toc218071228</vt:lpwstr>
      </vt:variant>
      <vt:variant>
        <vt:i4>1376319</vt:i4>
      </vt:variant>
      <vt:variant>
        <vt:i4>26</vt:i4>
      </vt:variant>
      <vt:variant>
        <vt:i4>0</vt:i4>
      </vt:variant>
      <vt:variant>
        <vt:i4>5</vt:i4>
      </vt:variant>
      <vt:variant>
        <vt:lpwstr/>
      </vt:variant>
      <vt:variant>
        <vt:lpwstr>_Toc218071227</vt:lpwstr>
      </vt:variant>
      <vt:variant>
        <vt:i4>1376319</vt:i4>
      </vt:variant>
      <vt:variant>
        <vt:i4>20</vt:i4>
      </vt:variant>
      <vt:variant>
        <vt:i4>0</vt:i4>
      </vt:variant>
      <vt:variant>
        <vt:i4>5</vt:i4>
      </vt:variant>
      <vt:variant>
        <vt:lpwstr/>
      </vt:variant>
      <vt:variant>
        <vt:lpwstr>_Toc218071226</vt:lpwstr>
      </vt:variant>
      <vt:variant>
        <vt:i4>1376319</vt:i4>
      </vt:variant>
      <vt:variant>
        <vt:i4>14</vt:i4>
      </vt:variant>
      <vt:variant>
        <vt:i4>0</vt:i4>
      </vt:variant>
      <vt:variant>
        <vt:i4>5</vt:i4>
      </vt:variant>
      <vt:variant>
        <vt:lpwstr/>
      </vt:variant>
      <vt:variant>
        <vt:lpwstr>_Toc218071225</vt:lpwstr>
      </vt:variant>
      <vt:variant>
        <vt:i4>1376319</vt:i4>
      </vt:variant>
      <vt:variant>
        <vt:i4>8</vt:i4>
      </vt:variant>
      <vt:variant>
        <vt:i4>0</vt:i4>
      </vt:variant>
      <vt:variant>
        <vt:i4>5</vt:i4>
      </vt:variant>
      <vt:variant>
        <vt:lpwstr/>
      </vt:variant>
      <vt:variant>
        <vt:lpwstr>_Toc218071224</vt:lpwstr>
      </vt:variant>
      <vt:variant>
        <vt:i4>1376319</vt:i4>
      </vt:variant>
      <vt:variant>
        <vt:i4>2</vt:i4>
      </vt:variant>
      <vt:variant>
        <vt:i4>0</vt:i4>
      </vt:variant>
      <vt:variant>
        <vt:i4>5</vt:i4>
      </vt:variant>
      <vt:variant>
        <vt:lpwstr/>
      </vt:variant>
      <vt:variant>
        <vt:lpwstr>_Toc218071223</vt:lpwstr>
      </vt:variant>
      <vt:variant>
        <vt:i4>6094957</vt:i4>
      </vt:variant>
      <vt:variant>
        <vt:i4>72</vt:i4>
      </vt:variant>
      <vt:variant>
        <vt:i4>0</vt:i4>
      </vt:variant>
      <vt:variant>
        <vt:i4>5</vt:i4>
      </vt:variant>
      <vt:variant>
        <vt:lpwstr>mailto:OconnoW@lloyds.com</vt:lpwstr>
      </vt:variant>
      <vt:variant>
        <vt:lpwstr/>
      </vt:variant>
      <vt:variant>
        <vt:i4>3473437</vt:i4>
      </vt:variant>
      <vt:variant>
        <vt:i4>69</vt:i4>
      </vt:variant>
      <vt:variant>
        <vt:i4>0</vt:i4>
      </vt:variant>
      <vt:variant>
        <vt:i4>5</vt:i4>
      </vt:variant>
      <vt:variant>
        <vt:lpwstr>mailto:RubioM@lloyds.com</vt:lpwstr>
      </vt:variant>
      <vt:variant>
        <vt:lpwstr/>
      </vt:variant>
      <vt:variant>
        <vt:i4>3473437</vt:i4>
      </vt:variant>
      <vt:variant>
        <vt:i4>66</vt:i4>
      </vt:variant>
      <vt:variant>
        <vt:i4>0</vt:i4>
      </vt:variant>
      <vt:variant>
        <vt:i4>5</vt:i4>
      </vt:variant>
      <vt:variant>
        <vt:lpwstr>mailto:RubioM@lloyds.com</vt:lpwstr>
      </vt:variant>
      <vt:variant>
        <vt:lpwstr/>
      </vt:variant>
      <vt:variant>
        <vt:i4>6094962</vt:i4>
      </vt:variant>
      <vt:variant>
        <vt:i4>63</vt:i4>
      </vt:variant>
      <vt:variant>
        <vt:i4>0</vt:i4>
      </vt:variant>
      <vt:variant>
        <vt:i4>5</vt:i4>
      </vt:variant>
      <vt:variant>
        <vt:lpwstr>mailto:LazarusK@lloyds.com</vt:lpwstr>
      </vt:variant>
      <vt:variant>
        <vt:lpwstr/>
      </vt:variant>
      <vt:variant>
        <vt:i4>6094962</vt:i4>
      </vt:variant>
      <vt:variant>
        <vt:i4>60</vt:i4>
      </vt:variant>
      <vt:variant>
        <vt:i4>0</vt:i4>
      </vt:variant>
      <vt:variant>
        <vt:i4>5</vt:i4>
      </vt:variant>
      <vt:variant>
        <vt:lpwstr>mailto:LazarusK@lloyds.com</vt:lpwstr>
      </vt:variant>
      <vt:variant>
        <vt:lpwstr/>
      </vt:variant>
      <vt:variant>
        <vt:i4>5177467</vt:i4>
      </vt:variant>
      <vt:variant>
        <vt:i4>57</vt:i4>
      </vt:variant>
      <vt:variant>
        <vt:i4>0</vt:i4>
      </vt:variant>
      <vt:variant>
        <vt:i4>5</vt:i4>
      </vt:variant>
      <vt:variant>
        <vt:lpwstr>mailto:SissonD@lloyds.com</vt:lpwstr>
      </vt:variant>
      <vt:variant>
        <vt:lpwstr/>
      </vt:variant>
      <vt:variant>
        <vt:i4>6094962</vt:i4>
      </vt:variant>
      <vt:variant>
        <vt:i4>54</vt:i4>
      </vt:variant>
      <vt:variant>
        <vt:i4>0</vt:i4>
      </vt:variant>
      <vt:variant>
        <vt:i4>5</vt:i4>
      </vt:variant>
      <vt:variant>
        <vt:lpwstr>mailto:LazarusK@lloyds.com</vt:lpwstr>
      </vt:variant>
      <vt:variant>
        <vt:lpwstr/>
      </vt:variant>
      <vt:variant>
        <vt:i4>5177467</vt:i4>
      </vt:variant>
      <vt:variant>
        <vt:i4>51</vt:i4>
      </vt:variant>
      <vt:variant>
        <vt:i4>0</vt:i4>
      </vt:variant>
      <vt:variant>
        <vt:i4>5</vt:i4>
      </vt:variant>
      <vt:variant>
        <vt:lpwstr>mailto:SissonD@lloyds.com</vt:lpwstr>
      </vt:variant>
      <vt:variant>
        <vt:lpwstr/>
      </vt:variant>
      <vt:variant>
        <vt:i4>4522107</vt:i4>
      </vt:variant>
      <vt:variant>
        <vt:i4>48</vt:i4>
      </vt:variant>
      <vt:variant>
        <vt:i4>0</vt:i4>
      </vt:variant>
      <vt:variant>
        <vt:i4>5</vt:i4>
      </vt:variant>
      <vt:variant>
        <vt:lpwstr>mailto:DavisonP@lloyds.com</vt:lpwstr>
      </vt:variant>
      <vt:variant>
        <vt:lpwstr/>
      </vt:variant>
      <vt:variant>
        <vt:i4>4587645</vt:i4>
      </vt:variant>
      <vt:variant>
        <vt:i4>45</vt:i4>
      </vt:variant>
      <vt:variant>
        <vt:i4>0</vt:i4>
      </vt:variant>
      <vt:variant>
        <vt:i4>5</vt:i4>
      </vt:variant>
      <vt:variant>
        <vt:lpwstr>mailto:PEARSONI@lloyds.com</vt:lpwstr>
      </vt:variant>
      <vt:variant>
        <vt:lpwstr/>
      </vt:variant>
      <vt:variant>
        <vt:i4>4325492</vt:i4>
      </vt:variant>
      <vt:variant>
        <vt:i4>42</vt:i4>
      </vt:variant>
      <vt:variant>
        <vt:i4>0</vt:i4>
      </vt:variant>
      <vt:variant>
        <vt:i4>5</vt:i4>
      </vt:variant>
      <vt:variant>
        <vt:lpwstr>mailto:MARTINP@lloyds.com</vt:lpwstr>
      </vt:variant>
      <vt:variant>
        <vt:lpwstr/>
      </vt:variant>
      <vt:variant>
        <vt:i4>4587645</vt:i4>
      </vt:variant>
      <vt:variant>
        <vt:i4>39</vt:i4>
      </vt:variant>
      <vt:variant>
        <vt:i4>0</vt:i4>
      </vt:variant>
      <vt:variant>
        <vt:i4>5</vt:i4>
      </vt:variant>
      <vt:variant>
        <vt:lpwstr>mailto:PEARSONI@lloyds.com</vt:lpwstr>
      </vt:variant>
      <vt:variant>
        <vt:lpwstr/>
      </vt:variant>
      <vt:variant>
        <vt:i4>4259956</vt:i4>
      </vt:variant>
      <vt:variant>
        <vt:i4>36</vt:i4>
      </vt:variant>
      <vt:variant>
        <vt:i4>0</vt:i4>
      </vt:variant>
      <vt:variant>
        <vt:i4>5</vt:i4>
      </vt:variant>
      <vt:variant>
        <vt:lpwstr>mailto:DivekarU@lloyds.com</vt:lpwstr>
      </vt:variant>
      <vt:variant>
        <vt:lpwstr/>
      </vt:variant>
      <vt:variant>
        <vt:i4>5832806</vt:i4>
      </vt:variant>
      <vt:variant>
        <vt:i4>33</vt:i4>
      </vt:variant>
      <vt:variant>
        <vt:i4>0</vt:i4>
      </vt:variant>
      <vt:variant>
        <vt:i4>5</vt:i4>
      </vt:variant>
      <vt:variant>
        <vt:lpwstr>mailto:edwardsk@lloyds.com</vt:lpwstr>
      </vt:variant>
      <vt:variant>
        <vt:lpwstr/>
      </vt:variant>
      <vt:variant>
        <vt:i4>6226040</vt:i4>
      </vt:variant>
      <vt:variant>
        <vt:i4>30</vt:i4>
      </vt:variant>
      <vt:variant>
        <vt:i4>0</vt:i4>
      </vt:variant>
      <vt:variant>
        <vt:i4>5</vt:i4>
      </vt:variant>
      <vt:variant>
        <vt:lpwstr>mailto:BrookesL@lloyds.com</vt:lpwstr>
      </vt:variant>
      <vt:variant>
        <vt:lpwstr/>
      </vt:variant>
      <vt:variant>
        <vt:i4>4259956</vt:i4>
      </vt:variant>
      <vt:variant>
        <vt:i4>27</vt:i4>
      </vt:variant>
      <vt:variant>
        <vt:i4>0</vt:i4>
      </vt:variant>
      <vt:variant>
        <vt:i4>5</vt:i4>
      </vt:variant>
      <vt:variant>
        <vt:lpwstr>mailto:DivekarU@lloyds.com</vt:lpwstr>
      </vt:variant>
      <vt:variant>
        <vt:lpwstr/>
      </vt:variant>
      <vt:variant>
        <vt:i4>5832806</vt:i4>
      </vt:variant>
      <vt:variant>
        <vt:i4>24</vt:i4>
      </vt:variant>
      <vt:variant>
        <vt:i4>0</vt:i4>
      </vt:variant>
      <vt:variant>
        <vt:i4>5</vt:i4>
      </vt:variant>
      <vt:variant>
        <vt:lpwstr>mailto:edwardsk@lloyds.com</vt:lpwstr>
      </vt:variant>
      <vt:variant>
        <vt:lpwstr/>
      </vt:variant>
      <vt:variant>
        <vt:i4>4784238</vt:i4>
      </vt:variant>
      <vt:variant>
        <vt:i4>21</vt:i4>
      </vt:variant>
      <vt:variant>
        <vt:i4>0</vt:i4>
      </vt:variant>
      <vt:variant>
        <vt:i4>5</vt:i4>
      </vt:variant>
      <vt:variant>
        <vt:lpwstr>mailto:BraceweD@lloyds.com</vt:lpwstr>
      </vt:variant>
      <vt:variant>
        <vt:lpwstr/>
      </vt:variant>
      <vt:variant>
        <vt:i4>5963891</vt:i4>
      </vt:variant>
      <vt:variant>
        <vt:i4>18</vt:i4>
      </vt:variant>
      <vt:variant>
        <vt:i4>0</vt:i4>
      </vt:variant>
      <vt:variant>
        <vt:i4>5</vt:i4>
      </vt:variant>
      <vt:variant>
        <vt:lpwstr>mailto:DickensS@lloyds.com</vt:lpwstr>
      </vt:variant>
      <vt:variant>
        <vt:lpwstr/>
      </vt:variant>
      <vt:variant>
        <vt:i4>4849778</vt:i4>
      </vt:variant>
      <vt:variant>
        <vt:i4>15</vt:i4>
      </vt:variant>
      <vt:variant>
        <vt:i4>0</vt:i4>
      </vt:variant>
      <vt:variant>
        <vt:i4>5</vt:i4>
      </vt:variant>
      <vt:variant>
        <vt:lpwstr>mailto:StevensR@lloyds.com</vt:lpwstr>
      </vt:variant>
      <vt:variant>
        <vt:lpwstr/>
      </vt:variant>
      <vt:variant>
        <vt:i4>4784186</vt:i4>
      </vt:variant>
      <vt:variant>
        <vt:i4>12</vt:i4>
      </vt:variant>
      <vt:variant>
        <vt:i4>0</vt:i4>
      </vt:variant>
      <vt:variant>
        <vt:i4>5</vt:i4>
      </vt:variant>
      <vt:variant>
        <vt:lpwstr>mailto:O'RourkL@lloyds.com</vt:lpwstr>
      </vt:variant>
      <vt:variant>
        <vt:lpwstr/>
      </vt:variant>
      <vt:variant>
        <vt:i4>5308540</vt:i4>
      </vt:variant>
      <vt:variant>
        <vt:i4>9</vt:i4>
      </vt:variant>
      <vt:variant>
        <vt:i4>0</vt:i4>
      </vt:variant>
      <vt:variant>
        <vt:i4>5</vt:i4>
      </vt:variant>
      <vt:variant>
        <vt:lpwstr>mailto:MarshalC@lloyds.com</vt:lpwstr>
      </vt:variant>
      <vt:variant>
        <vt:lpwstr/>
      </vt:variant>
      <vt:variant>
        <vt:i4>4849778</vt:i4>
      </vt:variant>
      <vt:variant>
        <vt:i4>6</vt:i4>
      </vt:variant>
      <vt:variant>
        <vt:i4>0</vt:i4>
      </vt:variant>
      <vt:variant>
        <vt:i4>5</vt:i4>
      </vt:variant>
      <vt:variant>
        <vt:lpwstr>mailto:StevensR@lloyds.com</vt:lpwstr>
      </vt:variant>
      <vt:variant>
        <vt:lpwstr/>
      </vt:variant>
      <vt:variant>
        <vt:i4>5308540</vt:i4>
      </vt:variant>
      <vt:variant>
        <vt:i4>3</vt:i4>
      </vt:variant>
      <vt:variant>
        <vt:i4>0</vt:i4>
      </vt:variant>
      <vt:variant>
        <vt:i4>5</vt:i4>
      </vt:variant>
      <vt:variant>
        <vt:lpwstr>mailto:MarshalC@lloyds.com</vt:lpwstr>
      </vt:variant>
      <vt:variant>
        <vt:lpwstr/>
      </vt:variant>
      <vt:variant>
        <vt:i4>4784186</vt:i4>
      </vt:variant>
      <vt:variant>
        <vt:i4>0</vt:i4>
      </vt:variant>
      <vt:variant>
        <vt:i4>0</vt:i4>
      </vt:variant>
      <vt:variant>
        <vt:i4>5</vt:i4>
      </vt:variant>
      <vt:variant>
        <vt:lpwstr>mailto:O'RourkL@lloyds.com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Global Corporation Template</dc:subject>
  <dc:creator>Clouston, David</dc:creator>
  <cp:keywords/>
  <cp:lastModifiedBy>Dickens, Samantha</cp:lastModifiedBy>
  <cp:revision>20</cp:revision>
  <cp:lastPrinted>2023-12-31T01:59:00Z</cp:lastPrinted>
  <dcterms:created xsi:type="dcterms:W3CDTF">2026-08-06T15:06:00Z</dcterms:created>
  <dcterms:modified xsi:type="dcterms:W3CDTF">2026-08-18T11:11:00Z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4ac1b-ad46-41e5-bbef-cfcc59b99d32_Enabled">
    <vt:lpwstr>true</vt:lpwstr>
  </property>
  <property fmtid="{D5CDD505-2E9C-101B-9397-08002B2CF9AE}" pid="3" name="MSIP_Label_b3b4ac1b-ad46-41e5-bbef-cfcc59b99d32_SetDate">
    <vt:lpwstr>2023-01-06T14:22:48Z</vt:lpwstr>
  </property>
  <property fmtid="{D5CDD505-2E9C-101B-9397-08002B2CF9AE}" pid="4" name="MSIP_Label_b3b4ac1b-ad46-41e5-bbef-cfcc59b99d32_Method">
    <vt:lpwstr>Standard</vt:lpwstr>
  </property>
  <property fmtid="{D5CDD505-2E9C-101B-9397-08002B2CF9AE}" pid="5" name="MSIP_Label_b3b4ac1b-ad46-41e5-bbef-cfcc59b99d32_Name">
    <vt:lpwstr>b3b4ac1b-ad46-41e5-bbef-cfcc59b99d32</vt:lpwstr>
  </property>
  <property fmtid="{D5CDD505-2E9C-101B-9397-08002B2CF9AE}" pid="6" name="MSIP_Label_b3b4ac1b-ad46-41e5-bbef-cfcc59b99d32_SiteId">
    <vt:lpwstr>8df4b91e-bf72-411d-9902-5ecc8f1e6c11</vt:lpwstr>
  </property>
  <property fmtid="{D5CDD505-2E9C-101B-9397-08002B2CF9AE}" pid="7" name="MSIP_Label_b3b4ac1b-ad46-41e5-bbef-cfcc59b99d32_ActionId">
    <vt:lpwstr>eee42787-b373-4bc5-8f6c-2c341918a43d</vt:lpwstr>
  </property>
  <property fmtid="{D5CDD505-2E9C-101B-9397-08002B2CF9AE}" pid="8" name="MSIP_Label_b3b4ac1b-ad46-41e5-bbef-cfcc59b99d32_ContentBits">
    <vt:lpwstr>2</vt:lpwstr>
  </property>
  <property fmtid="{D5CDD505-2E9C-101B-9397-08002B2CF9AE}" pid="9" name="ContentTypeId">
    <vt:lpwstr>0x0101007CCDFE0789C72445B230B8249611C198</vt:lpwstr>
  </property>
  <property fmtid="{D5CDD505-2E9C-101B-9397-08002B2CF9AE}" pid="10" name="MediaServiceImageTags">
    <vt:lpwstr/>
  </property>
  <property fmtid="{D5CDD505-2E9C-101B-9397-08002B2CF9AE}" pid="11" name="docLang">
    <vt:lpwstr>en</vt:lpwstr>
  </property>
  <property fmtid="{D5CDD505-2E9C-101B-9397-08002B2CF9AE}" pid="12" name="_dlc_DocIdItemGuid">
    <vt:lpwstr>d8a3880e-1568-4d33-8025-c8da08f68909</vt:lpwstr>
  </property>
</Properties>
</file>